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28076" w14:textId="4A5DEE88" w:rsidR="00D370DD" w:rsidRDefault="0067358E" w:rsidP="008F085C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 xml:space="preserve">THE VOLUME OF THE WALPOLE SOCIETY </w:t>
      </w:r>
    </w:p>
    <w:p w14:paraId="6E203E7F" w14:textId="77777777" w:rsidR="0067358E" w:rsidRPr="00B37BF7" w:rsidRDefault="0067358E" w:rsidP="008F085C">
      <w:pPr>
        <w:jc w:val="center"/>
        <w:rPr>
          <w:rFonts w:ascii="Garamond" w:hAnsi="Garamond"/>
          <w:sz w:val="32"/>
          <w:szCs w:val="32"/>
        </w:rPr>
      </w:pPr>
    </w:p>
    <w:p w14:paraId="642D405E" w14:textId="1094C687" w:rsidR="0067358E" w:rsidRDefault="007E619F" w:rsidP="00B37BF7">
      <w:pPr>
        <w:spacing w:after="120"/>
        <w:jc w:val="center"/>
        <w:rPr>
          <w:rFonts w:ascii="Garamond" w:hAnsi="Garamond"/>
        </w:rPr>
      </w:pPr>
      <w:r>
        <w:rPr>
          <w:rFonts w:ascii="Garamond" w:hAnsi="Garamond"/>
          <w:b/>
          <w:bCs/>
          <w:sz w:val="28"/>
          <w:szCs w:val="28"/>
        </w:rPr>
        <w:t>GUIDE FOR AUTHORS</w:t>
      </w:r>
    </w:p>
    <w:p w14:paraId="77234B30" w14:textId="1E074B3C" w:rsidR="000D3CB3" w:rsidRPr="00B37BF7" w:rsidRDefault="000D3CB3" w:rsidP="00B37BF7">
      <w:pPr>
        <w:spacing w:after="120"/>
        <w:rPr>
          <w:rFonts w:ascii="Garamond" w:hAnsi="Garamond"/>
          <w:b/>
          <w:bCs/>
          <w:sz w:val="28"/>
          <w:szCs w:val="28"/>
        </w:rPr>
      </w:pPr>
      <w:r w:rsidRPr="00B37BF7">
        <w:rPr>
          <w:rFonts w:ascii="Garamond" w:hAnsi="Garamond"/>
          <w:b/>
          <w:bCs/>
          <w:sz w:val="28"/>
          <w:szCs w:val="28"/>
        </w:rPr>
        <w:t xml:space="preserve">Introduction </w:t>
      </w:r>
    </w:p>
    <w:p w14:paraId="7B78ADDD" w14:textId="147F10BF" w:rsidR="002A1478" w:rsidRDefault="00B64F96" w:rsidP="00E53A7B">
      <w:pPr>
        <w:rPr>
          <w:rFonts w:ascii="Garamond" w:hAnsi="Garamond"/>
        </w:rPr>
      </w:pPr>
      <w:r>
        <w:rPr>
          <w:rFonts w:ascii="Garamond" w:hAnsi="Garamond"/>
        </w:rPr>
        <w:t>We aim for our publications to serve as wide a readership as possible</w:t>
      </w:r>
      <w:r w:rsidR="00A71903">
        <w:rPr>
          <w:rFonts w:ascii="Garamond" w:hAnsi="Garamond"/>
        </w:rPr>
        <w:t>. We therefore ask our authors to use language that is as direct and unfussy as possible and if necessary their</w:t>
      </w:r>
      <w:r w:rsidR="002A1478">
        <w:rPr>
          <w:rFonts w:ascii="Garamond" w:hAnsi="Garamond"/>
        </w:rPr>
        <w:t xml:space="preserve"> submissions will be edited to </w:t>
      </w:r>
      <w:r w:rsidR="00A71903">
        <w:rPr>
          <w:rFonts w:ascii="Garamond" w:hAnsi="Garamond"/>
        </w:rPr>
        <w:t>achieve</w:t>
      </w:r>
      <w:r w:rsidR="002A1478">
        <w:rPr>
          <w:rFonts w:ascii="Garamond" w:hAnsi="Garamond"/>
        </w:rPr>
        <w:t xml:space="preserve"> this</w:t>
      </w:r>
      <w:r>
        <w:rPr>
          <w:rFonts w:ascii="Garamond" w:hAnsi="Garamond"/>
        </w:rPr>
        <w:t>.</w:t>
      </w:r>
      <w:r w:rsidR="00BA7298" w:rsidRPr="00BA7298">
        <w:rPr>
          <w:rFonts w:ascii="Garamond" w:hAnsi="Garamond"/>
        </w:rPr>
        <w:t xml:space="preserve"> </w:t>
      </w:r>
      <w:r w:rsidR="00A71903">
        <w:rPr>
          <w:rFonts w:ascii="Garamond" w:hAnsi="Garamond"/>
        </w:rPr>
        <w:t>For the same reason, acronyms</w:t>
      </w:r>
      <w:r w:rsidR="00BA7298">
        <w:rPr>
          <w:rFonts w:ascii="Garamond" w:hAnsi="Garamond"/>
        </w:rPr>
        <w:t xml:space="preserve"> and academic jargon </w:t>
      </w:r>
      <w:r w:rsidR="00A71903">
        <w:rPr>
          <w:rFonts w:ascii="Garamond" w:hAnsi="Garamond"/>
        </w:rPr>
        <w:t>should not be used</w:t>
      </w:r>
      <w:r w:rsidR="00BA7298">
        <w:rPr>
          <w:rFonts w:ascii="Garamond" w:hAnsi="Garamond"/>
        </w:rPr>
        <w:t xml:space="preserve"> and will be removed by the editor.</w:t>
      </w:r>
      <w:r w:rsidR="00A71903">
        <w:rPr>
          <w:rFonts w:ascii="Garamond" w:hAnsi="Garamond"/>
        </w:rPr>
        <w:t xml:space="preserve"> The texts we publish are often complex and will require the editor and author to agree a bespoke approach to formatting. All other editorial interventions should be made according to the guidelines laid out below. </w:t>
      </w:r>
    </w:p>
    <w:p w14:paraId="6CA8296B" w14:textId="77777777" w:rsidR="007B7C4B" w:rsidRDefault="007B7C4B" w:rsidP="000B768E">
      <w:pPr>
        <w:rPr>
          <w:rFonts w:ascii="Garamond" w:hAnsi="Garamond"/>
        </w:rPr>
      </w:pPr>
    </w:p>
    <w:p w14:paraId="4A376C81" w14:textId="23AD09F6" w:rsidR="000D3CB3" w:rsidRPr="00B37BF7" w:rsidRDefault="00BC38BA" w:rsidP="00B37BF7">
      <w:pPr>
        <w:spacing w:after="120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Citing</w:t>
      </w:r>
      <w:r w:rsidR="002A1478">
        <w:rPr>
          <w:rFonts w:ascii="Garamond" w:hAnsi="Garamond"/>
          <w:b/>
          <w:bCs/>
          <w:sz w:val="28"/>
          <w:szCs w:val="28"/>
        </w:rPr>
        <w:t xml:space="preserve"> W</w:t>
      </w:r>
      <w:r w:rsidR="000D3CB3" w:rsidRPr="00B37BF7">
        <w:rPr>
          <w:rFonts w:ascii="Garamond" w:hAnsi="Garamond"/>
          <w:b/>
          <w:bCs/>
          <w:sz w:val="28"/>
          <w:szCs w:val="28"/>
        </w:rPr>
        <w:t xml:space="preserve">orks in Print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3B0111" w14:paraId="3B64CCB0" w14:textId="77777777" w:rsidTr="007E5B93">
        <w:tc>
          <w:tcPr>
            <w:tcW w:w="4508" w:type="dxa"/>
            <w:vMerge w:val="restart"/>
          </w:tcPr>
          <w:p w14:paraId="447CD309" w14:textId="77777777" w:rsidR="003B0111" w:rsidRPr="00FC4898" w:rsidRDefault="003B0111" w:rsidP="007B7C4B">
            <w:pPr>
              <w:spacing w:after="60"/>
              <w:rPr>
                <w:rFonts w:ascii="Garamond" w:hAnsi="Garamond"/>
              </w:rPr>
            </w:pPr>
            <w:r w:rsidRPr="00FC4898">
              <w:rPr>
                <w:rFonts w:ascii="Garamond" w:hAnsi="Garamond"/>
                <w:b/>
                <w:bCs/>
                <w:i/>
                <w:iCs/>
              </w:rPr>
              <w:t>Books</w:t>
            </w:r>
          </w:p>
          <w:p w14:paraId="03B8CEB9" w14:textId="77777777" w:rsidR="003B0111" w:rsidRPr="00FC4898" w:rsidRDefault="003B0111" w:rsidP="00B37BF7">
            <w:pPr>
              <w:spacing w:after="60"/>
              <w:rPr>
                <w:rFonts w:ascii="Garamond" w:hAnsi="Garamond"/>
              </w:rPr>
            </w:pPr>
            <w:r w:rsidRPr="00FC4898">
              <w:rPr>
                <w:rFonts w:ascii="Garamond" w:hAnsi="Garamond"/>
              </w:rPr>
              <w:t xml:space="preserve">John Bloggs, </w:t>
            </w:r>
            <w:r w:rsidRPr="00FC4898">
              <w:rPr>
                <w:rFonts w:ascii="Garamond" w:hAnsi="Garamond"/>
                <w:i/>
                <w:iCs/>
              </w:rPr>
              <w:t>What Am I Talking About?</w:t>
            </w:r>
            <w:r w:rsidRPr="00FC4898">
              <w:rPr>
                <w:rFonts w:ascii="Garamond" w:hAnsi="Garamond"/>
              </w:rPr>
              <w:t xml:space="preserve"> (London, 2008), p. 68</w:t>
            </w:r>
            <w:r>
              <w:rPr>
                <w:rFonts w:ascii="Garamond" w:hAnsi="Garamond"/>
              </w:rPr>
              <w:t>.</w:t>
            </w:r>
          </w:p>
          <w:p w14:paraId="110712A3" w14:textId="77777777" w:rsidR="003B0111" w:rsidRPr="00FC4898" w:rsidRDefault="003B0111" w:rsidP="007B7C4B">
            <w:pPr>
              <w:spacing w:after="60"/>
              <w:rPr>
                <w:rFonts w:ascii="Garamond" w:hAnsi="Garamond"/>
              </w:rPr>
            </w:pPr>
            <w:r w:rsidRPr="00FC4898">
              <w:rPr>
                <w:rFonts w:ascii="Garamond" w:hAnsi="Garamond"/>
                <w:b/>
                <w:bCs/>
                <w:i/>
                <w:iCs/>
              </w:rPr>
              <w:t>Editions of Texts</w:t>
            </w:r>
          </w:p>
          <w:p w14:paraId="5762A66B" w14:textId="77777777" w:rsidR="003B0111" w:rsidRDefault="003B0111" w:rsidP="00B37BF7">
            <w:pPr>
              <w:spacing w:after="60"/>
              <w:rPr>
                <w:rFonts w:ascii="Garamond" w:hAnsi="Garamond"/>
              </w:rPr>
            </w:pPr>
            <w:r w:rsidRPr="00FC4898">
              <w:rPr>
                <w:rFonts w:ascii="Garamond" w:hAnsi="Garamond"/>
              </w:rPr>
              <w:t xml:space="preserve">William Shakespeare, John Bloggs (ed.), </w:t>
            </w:r>
            <w:r w:rsidRPr="00FC4898">
              <w:rPr>
                <w:rFonts w:ascii="Garamond" w:hAnsi="Garamond"/>
                <w:i/>
                <w:iCs/>
              </w:rPr>
              <w:t>What Am I Talking About?</w:t>
            </w:r>
            <w:r w:rsidRPr="00FC4898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(New Haven and London, 2015). </w:t>
            </w:r>
          </w:p>
          <w:p w14:paraId="7E974157" w14:textId="77777777" w:rsidR="003B0111" w:rsidRPr="00FC4898" w:rsidRDefault="003B0111" w:rsidP="007B7C4B">
            <w:pPr>
              <w:spacing w:after="60"/>
              <w:rPr>
                <w:rFonts w:ascii="Garamond" w:hAnsi="Garamond"/>
                <w:b/>
                <w:bCs/>
                <w:i/>
                <w:iCs/>
              </w:rPr>
            </w:pPr>
            <w:r w:rsidRPr="00FC4898">
              <w:rPr>
                <w:rFonts w:ascii="Garamond" w:hAnsi="Garamond"/>
                <w:b/>
                <w:bCs/>
                <w:i/>
                <w:iCs/>
              </w:rPr>
              <w:t xml:space="preserve">Journal Articles </w:t>
            </w:r>
          </w:p>
          <w:p w14:paraId="0BB2AB15" w14:textId="77777777" w:rsidR="003B0111" w:rsidRPr="00FC4898" w:rsidRDefault="003B0111" w:rsidP="00B37BF7">
            <w:pPr>
              <w:spacing w:after="60"/>
              <w:rPr>
                <w:rFonts w:ascii="Garamond" w:hAnsi="Garamond"/>
              </w:rPr>
            </w:pPr>
            <w:r w:rsidRPr="00FC4898">
              <w:rPr>
                <w:rFonts w:ascii="Garamond" w:hAnsi="Garamond"/>
              </w:rPr>
              <w:t xml:space="preserve">John Bloggs, 'What Am I Talking About?', </w:t>
            </w:r>
            <w:r w:rsidRPr="00FC4898">
              <w:rPr>
                <w:rFonts w:ascii="Garamond" w:hAnsi="Garamond"/>
                <w:i/>
                <w:iCs/>
              </w:rPr>
              <w:t>Burlington Magazine</w:t>
            </w:r>
            <w:r w:rsidRPr="00FC4898">
              <w:rPr>
                <w:rFonts w:ascii="Garamond" w:hAnsi="Garamond"/>
              </w:rPr>
              <w:t xml:space="preserve"> (August 2008), vol. 123, no. 56, p</w:t>
            </w:r>
            <w:r>
              <w:rPr>
                <w:rFonts w:ascii="Garamond" w:hAnsi="Garamond"/>
              </w:rPr>
              <w:t>p</w:t>
            </w:r>
            <w:r w:rsidRPr="00FC4898">
              <w:rPr>
                <w:rFonts w:ascii="Garamond" w:hAnsi="Garamond"/>
              </w:rPr>
              <w:t xml:space="preserve">. </w:t>
            </w:r>
            <w:r>
              <w:rPr>
                <w:rFonts w:ascii="Garamond" w:hAnsi="Garamond"/>
              </w:rPr>
              <w:t xml:space="preserve">566-9, </w:t>
            </w:r>
            <w:r w:rsidRPr="00FC4898">
              <w:rPr>
                <w:rFonts w:ascii="Garamond" w:hAnsi="Garamond"/>
              </w:rPr>
              <w:t>568</w:t>
            </w:r>
            <w:r>
              <w:rPr>
                <w:rFonts w:ascii="Garamond" w:hAnsi="Garamond"/>
              </w:rPr>
              <w:t>.</w:t>
            </w:r>
          </w:p>
          <w:p w14:paraId="6059FD7F" w14:textId="77777777" w:rsidR="003B0111" w:rsidRPr="00FC4898" w:rsidRDefault="003B0111" w:rsidP="007B7C4B">
            <w:pPr>
              <w:spacing w:after="60"/>
              <w:rPr>
                <w:rFonts w:ascii="Garamond" w:hAnsi="Garamond"/>
                <w:b/>
                <w:bCs/>
                <w:i/>
                <w:iCs/>
              </w:rPr>
            </w:pPr>
            <w:r w:rsidRPr="00FC4898">
              <w:rPr>
                <w:rFonts w:ascii="Garamond" w:hAnsi="Garamond"/>
                <w:b/>
                <w:bCs/>
                <w:i/>
                <w:iCs/>
              </w:rPr>
              <w:t xml:space="preserve">Conference Papers </w:t>
            </w:r>
          </w:p>
          <w:p w14:paraId="5CF7A0BB" w14:textId="775EEC2A" w:rsidR="003B0111" w:rsidRDefault="003B0111" w:rsidP="00F7314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John Bloggs, ‘What Am I Talking About?’ (paper presented at ‘Talking About Things’, </w:t>
            </w:r>
            <w:proofErr w:type="spellStart"/>
            <w:r>
              <w:rPr>
                <w:rFonts w:ascii="Garamond" w:hAnsi="Garamond"/>
              </w:rPr>
              <w:t>Courtauld</w:t>
            </w:r>
            <w:proofErr w:type="spellEnd"/>
            <w:r>
              <w:rPr>
                <w:rFonts w:ascii="Garamond" w:hAnsi="Garamond"/>
              </w:rPr>
              <w:t xml:space="preserve"> Institute, University of London, October 2013). </w:t>
            </w:r>
          </w:p>
        </w:tc>
        <w:tc>
          <w:tcPr>
            <w:tcW w:w="4508" w:type="dxa"/>
          </w:tcPr>
          <w:p w14:paraId="78F39BF2" w14:textId="77777777" w:rsidR="003B0111" w:rsidRPr="00FC4898" w:rsidRDefault="003B0111" w:rsidP="007B7C4B">
            <w:pPr>
              <w:spacing w:after="60"/>
              <w:rPr>
                <w:rFonts w:ascii="Garamond" w:hAnsi="Garamond"/>
                <w:b/>
                <w:bCs/>
                <w:i/>
                <w:iCs/>
              </w:rPr>
            </w:pPr>
            <w:r w:rsidRPr="00FC4898">
              <w:rPr>
                <w:rFonts w:ascii="Garamond" w:hAnsi="Garamond"/>
                <w:b/>
                <w:bCs/>
                <w:i/>
                <w:iCs/>
              </w:rPr>
              <w:t>Edited Volumes</w:t>
            </w:r>
          </w:p>
          <w:p w14:paraId="22DE0B50" w14:textId="34B28D0C" w:rsidR="003B0111" w:rsidRDefault="003B0111" w:rsidP="00B37BF7">
            <w:pPr>
              <w:spacing w:after="60"/>
              <w:rPr>
                <w:rFonts w:ascii="Garamond" w:hAnsi="Garamond"/>
              </w:rPr>
            </w:pPr>
            <w:r w:rsidRPr="00FC4898">
              <w:rPr>
                <w:rFonts w:ascii="Garamond" w:hAnsi="Garamond"/>
              </w:rPr>
              <w:t xml:space="preserve">John Bloggs, Jill Smith (eds), </w:t>
            </w:r>
            <w:r w:rsidRPr="00FC4898">
              <w:rPr>
                <w:rFonts w:ascii="Garamond" w:hAnsi="Garamond"/>
                <w:i/>
                <w:iCs/>
              </w:rPr>
              <w:t xml:space="preserve">What Are we Talking about? </w:t>
            </w:r>
            <w:r w:rsidRPr="00FC4898">
              <w:rPr>
                <w:rFonts w:ascii="Garamond" w:hAnsi="Garamond"/>
              </w:rPr>
              <w:t>(London, 2012), p</w:t>
            </w:r>
            <w:r>
              <w:rPr>
                <w:rFonts w:ascii="Garamond" w:hAnsi="Garamond"/>
              </w:rPr>
              <w:t>p</w:t>
            </w:r>
            <w:r w:rsidRPr="00FC4898">
              <w:rPr>
                <w:rFonts w:ascii="Garamond" w:hAnsi="Garamond"/>
              </w:rPr>
              <w:t>. 12</w:t>
            </w:r>
            <w:r>
              <w:rPr>
                <w:rFonts w:ascii="Garamond" w:hAnsi="Garamond"/>
              </w:rPr>
              <w:t>-14.</w:t>
            </w:r>
          </w:p>
        </w:tc>
      </w:tr>
      <w:tr w:rsidR="003B0111" w14:paraId="5156C90D" w14:textId="77777777" w:rsidTr="007E5B93">
        <w:tc>
          <w:tcPr>
            <w:tcW w:w="4508" w:type="dxa"/>
            <w:vMerge/>
          </w:tcPr>
          <w:p w14:paraId="13E1015A" w14:textId="4B6F89D2" w:rsidR="003B0111" w:rsidRPr="00B37BF7" w:rsidRDefault="003B0111" w:rsidP="00B37BF7">
            <w:pPr>
              <w:rPr>
                <w:rFonts w:ascii="Garamond" w:hAnsi="Garamond"/>
              </w:rPr>
            </w:pPr>
          </w:p>
        </w:tc>
        <w:tc>
          <w:tcPr>
            <w:tcW w:w="4508" w:type="dxa"/>
          </w:tcPr>
          <w:p w14:paraId="314E5E2E" w14:textId="77777777" w:rsidR="003B0111" w:rsidRPr="00FC4898" w:rsidRDefault="003B0111" w:rsidP="007B7C4B">
            <w:pPr>
              <w:spacing w:after="60"/>
              <w:rPr>
                <w:rFonts w:ascii="Garamond" w:hAnsi="Garamond"/>
                <w:b/>
                <w:bCs/>
                <w:i/>
                <w:iCs/>
              </w:rPr>
            </w:pPr>
            <w:r w:rsidRPr="00FC4898">
              <w:rPr>
                <w:rFonts w:ascii="Garamond" w:hAnsi="Garamond"/>
                <w:b/>
                <w:bCs/>
                <w:i/>
                <w:iCs/>
              </w:rPr>
              <w:t xml:space="preserve">Book Chapters </w:t>
            </w:r>
          </w:p>
          <w:p w14:paraId="39FD9C02" w14:textId="39047F9A" w:rsidR="003B0111" w:rsidRPr="00B37BF7" w:rsidRDefault="003B0111" w:rsidP="0068459A">
            <w:pPr>
              <w:spacing w:after="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Jill Smith, ‘What Am I Talking about’, in John Bloggs (ed.), </w:t>
            </w:r>
            <w:r>
              <w:rPr>
                <w:rFonts w:ascii="Garamond" w:hAnsi="Garamond"/>
                <w:i/>
                <w:iCs/>
              </w:rPr>
              <w:t xml:space="preserve">What Was I Talking About </w:t>
            </w:r>
            <w:r>
              <w:rPr>
                <w:rFonts w:ascii="Garamond" w:hAnsi="Garamond"/>
              </w:rPr>
              <w:t>(London, 2016),</w:t>
            </w:r>
            <w:r>
              <w:rPr>
                <w:rFonts w:ascii="Garamond" w:hAnsi="Garamond"/>
                <w:i/>
                <w:iCs/>
              </w:rPr>
              <w:t xml:space="preserve"> </w:t>
            </w:r>
            <w:r>
              <w:rPr>
                <w:rFonts w:ascii="Garamond" w:hAnsi="Garamond"/>
              </w:rPr>
              <w:t xml:space="preserve">pp. 40-55, 43. </w:t>
            </w:r>
          </w:p>
        </w:tc>
      </w:tr>
      <w:tr w:rsidR="003B0111" w14:paraId="52712429" w14:textId="77777777" w:rsidTr="007E5B93">
        <w:tc>
          <w:tcPr>
            <w:tcW w:w="4508" w:type="dxa"/>
            <w:vMerge/>
          </w:tcPr>
          <w:p w14:paraId="0BF1C1B9" w14:textId="57CA34D6" w:rsidR="003B0111" w:rsidRPr="00FC4898" w:rsidRDefault="003B0111" w:rsidP="00F73145">
            <w:pPr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4508" w:type="dxa"/>
          </w:tcPr>
          <w:p w14:paraId="0347D3B9" w14:textId="77777777" w:rsidR="003B0111" w:rsidRPr="00FC4898" w:rsidRDefault="003B0111" w:rsidP="007B7C4B">
            <w:pPr>
              <w:spacing w:after="60"/>
              <w:rPr>
                <w:rFonts w:ascii="Garamond" w:hAnsi="Garamond"/>
                <w:b/>
                <w:bCs/>
                <w:i/>
                <w:iCs/>
              </w:rPr>
            </w:pPr>
            <w:r w:rsidRPr="00FC4898">
              <w:rPr>
                <w:rFonts w:ascii="Garamond" w:hAnsi="Garamond"/>
                <w:b/>
                <w:bCs/>
                <w:i/>
                <w:iCs/>
              </w:rPr>
              <w:t>Dissertations</w:t>
            </w:r>
          </w:p>
          <w:p w14:paraId="54A17E25" w14:textId="1073FCF0" w:rsidR="003B0111" w:rsidRPr="00B37BF7" w:rsidRDefault="003B0111" w:rsidP="007B7C4B">
            <w:pPr>
              <w:spacing w:after="60"/>
              <w:rPr>
                <w:rFonts w:ascii="Garamond" w:hAnsi="Garamond"/>
              </w:rPr>
            </w:pPr>
            <w:r w:rsidRPr="00FC4898">
              <w:rPr>
                <w:rFonts w:ascii="Garamond" w:hAnsi="Garamond"/>
              </w:rPr>
              <w:t xml:space="preserve">John Bloggs, </w:t>
            </w:r>
            <w:r w:rsidRPr="00FC4898">
              <w:rPr>
                <w:rFonts w:ascii="Garamond" w:hAnsi="Garamond"/>
                <w:i/>
                <w:iCs/>
              </w:rPr>
              <w:t xml:space="preserve">What </w:t>
            </w:r>
            <w:r>
              <w:rPr>
                <w:rFonts w:ascii="Garamond" w:hAnsi="Garamond"/>
                <w:i/>
                <w:iCs/>
              </w:rPr>
              <w:t>A</w:t>
            </w:r>
            <w:r w:rsidRPr="00FC4898">
              <w:rPr>
                <w:rFonts w:ascii="Garamond" w:hAnsi="Garamond"/>
                <w:i/>
                <w:iCs/>
              </w:rPr>
              <w:t xml:space="preserve">m I </w:t>
            </w:r>
            <w:r>
              <w:rPr>
                <w:rFonts w:ascii="Garamond" w:hAnsi="Garamond"/>
                <w:i/>
                <w:iCs/>
              </w:rPr>
              <w:t>T</w:t>
            </w:r>
            <w:r w:rsidRPr="00FC4898">
              <w:rPr>
                <w:rFonts w:ascii="Garamond" w:hAnsi="Garamond"/>
                <w:i/>
                <w:iCs/>
              </w:rPr>
              <w:t xml:space="preserve">alking </w:t>
            </w:r>
            <w:r>
              <w:rPr>
                <w:rFonts w:ascii="Garamond" w:hAnsi="Garamond"/>
                <w:i/>
                <w:iCs/>
              </w:rPr>
              <w:t>A</w:t>
            </w:r>
            <w:r w:rsidRPr="00FC4898">
              <w:rPr>
                <w:rFonts w:ascii="Garamond" w:hAnsi="Garamond"/>
                <w:i/>
                <w:iCs/>
              </w:rPr>
              <w:t>bout?</w:t>
            </w:r>
            <w:r w:rsidRPr="00FC4898">
              <w:rPr>
                <w:rFonts w:ascii="Garamond" w:hAnsi="Garamond"/>
              </w:rPr>
              <w:t xml:space="preserve"> (</w:t>
            </w:r>
            <w:proofErr w:type="spellStart"/>
            <w:r>
              <w:rPr>
                <w:rFonts w:ascii="Garamond" w:hAnsi="Garamond"/>
              </w:rPr>
              <w:t>u</w:t>
            </w:r>
            <w:r w:rsidRPr="00FC4898">
              <w:rPr>
                <w:rFonts w:ascii="Garamond" w:hAnsi="Garamond"/>
              </w:rPr>
              <w:t>npubd</w:t>
            </w:r>
            <w:proofErr w:type="spellEnd"/>
            <w:r w:rsidRPr="00FC4898">
              <w:rPr>
                <w:rFonts w:ascii="Garamond" w:hAnsi="Garamond"/>
              </w:rPr>
              <w:t xml:space="preserve"> PhD dissertation, University of Oxford, 2005).</w:t>
            </w:r>
          </w:p>
        </w:tc>
      </w:tr>
      <w:tr w:rsidR="003B0111" w14:paraId="598BD44A" w14:textId="77777777" w:rsidTr="007E5B93">
        <w:tc>
          <w:tcPr>
            <w:tcW w:w="4508" w:type="dxa"/>
            <w:vMerge/>
          </w:tcPr>
          <w:p w14:paraId="01BADFC1" w14:textId="5C301C62" w:rsidR="003B0111" w:rsidRPr="00B37BF7" w:rsidRDefault="003B0111" w:rsidP="00B37BF7">
            <w:pPr>
              <w:rPr>
                <w:rFonts w:ascii="Garamond" w:hAnsi="Garamond"/>
              </w:rPr>
            </w:pPr>
          </w:p>
        </w:tc>
        <w:tc>
          <w:tcPr>
            <w:tcW w:w="4508" w:type="dxa"/>
          </w:tcPr>
          <w:p w14:paraId="7427B45F" w14:textId="77777777" w:rsidR="003B0111" w:rsidRPr="00FC4898" w:rsidRDefault="003B0111" w:rsidP="007B7C4B">
            <w:pPr>
              <w:spacing w:after="60"/>
              <w:rPr>
                <w:rFonts w:ascii="Garamond" w:hAnsi="Garamond"/>
                <w:b/>
                <w:bCs/>
                <w:i/>
                <w:iCs/>
              </w:rPr>
            </w:pPr>
            <w:r w:rsidRPr="00FC4898">
              <w:rPr>
                <w:rFonts w:ascii="Garamond" w:hAnsi="Garamond"/>
                <w:b/>
                <w:bCs/>
                <w:i/>
                <w:iCs/>
              </w:rPr>
              <w:t>Exhibition Catalogues</w:t>
            </w:r>
          </w:p>
          <w:p w14:paraId="323F8A29" w14:textId="77777777" w:rsidR="003B0111" w:rsidRPr="00FC4898" w:rsidRDefault="003B0111" w:rsidP="0068459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Jill Smith, </w:t>
            </w:r>
            <w:r>
              <w:rPr>
                <w:rFonts w:ascii="Garamond" w:hAnsi="Garamond"/>
                <w:i/>
                <w:iCs/>
              </w:rPr>
              <w:t xml:space="preserve">The Art of John Bloggs </w:t>
            </w:r>
            <w:r>
              <w:rPr>
                <w:rFonts w:ascii="Garamond" w:hAnsi="Garamond"/>
              </w:rPr>
              <w:t>(</w:t>
            </w:r>
            <w:proofErr w:type="spellStart"/>
            <w:r>
              <w:rPr>
                <w:rFonts w:ascii="Garamond" w:hAnsi="Garamond"/>
              </w:rPr>
              <w:t>exh</w:t>
            </w:r>
            <w:proofErr w:type="spellEnd"/>
            <w:r>
              <w:rPr>
                <w:rFonts w:ascii="Garamond" w:hAnsi="Garamond"/>
              </w:rPr>
              <w:t xml:space="preserve">. cat.: London, National Gallery, 2018), p. 20, cat. no. 35. </w:t>
            </w:r>
          </w:p>
          <w:p w14:paraId="79269E17" w14:textId="77777777" w:rsidR="003B0111" w:rsidRPr="00FC4898" w:rsidRDefault="003B0111" w:rsidP="007B7C4B">
            <w:pPr>
              <w:spacing w:after="60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</w:tbl>
    <w:p w14:paraId="5BA10356" w14:textId="743FBFDB" w:rsidR="007B7C4B" w:rsidRPr="00B37BF7" w:rsidRDefault="00BC38BA" w:rsidP="00B37BF7">
      <w:pPr>
        <w:spacing w:before="240" w:after="120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Citing</w:t>
      </w:r>
      <w:r w:rsidR="002A1478">
        <w:rPr>
          <w:rFonts w:ascii="Garamond" w:hAnsi="Garamond"/>
          <w:b/>
          <w:bCs/>
          <w:sz w:val="28"/>
          <w:szCs w:val="28"/>
        </w:rPr>
        <w:t xml:space="preserve"> </w:t>
      </w:r>
      <w:r w:rsidR="007B7C4B" w:rsidRPr="00B37BF7">
        <w:rPr>
          <w:rFonts w:ascii="Garamond" w:hAnsi="Garamond"/>
          <w:b/>
          <w:bCs/>
          <w:sz w:val="28"/>
          <w:szCs w:val="28"/>
        </w:rPr>
        <w:t>Online Materials</w:t>
      </w:r>
    </w:p>
    <w:p w14:paraId="5B78F447" w14:textId="5CA4D1C5" w:rsidR="007B7C4B" w:rsidRPr="007B1A91" w:rsidRDefault="007B7C4B" w:rsidP="007B1A91">
      <w:pPr>
        <w:spacing w:after="60"/>
        <w:rPr>
          <w:rFonts w:ascii="Garamond" w:hAnsi="Garamond"/>
        </w:rPr>
      </w:pPr>
      <w:r w:rsidRPr="00B37BF7">
        <w:rPr>
          <w:rFonts w:ascii="Garamond" w:hAnsi="Garamond"/>
        </w:rPr>
        <w:t xml:space="preserve">We </w:t>
      </w:r>
      <w:r w:rsidR="007E619F">
        <w:rPr>
          <w:rFonts w:ascii="Garamond" w:hAnsi="Garamond"/>
        </w:rPr>
        <w:t>do not</w:t>
      </w:r>
      <w:r w:rsidRPr="00B37BF7">
        <w:rPr>
          <w:rFonts w:ascii="Garamond" w:hAnsi="Garamond"/>
        </w:rPr>
        <w:t xml:space="preserve"> give the full </w:t>
      </w:r>
      <w:r w:rsidR="007E619F">
        <w:rPr>
          <w:rFonts w:ascii="Garamond" w:hAnsi="Garamond"/>
        </w:rPr>
        <w:t>website URLs</w:t>
      </w:r>
      <w:r w:rsidRPr="00B37BF7">
        <w:rPr>
          <w:rFonts w:ascii="Garamond" w:hAnsi="Garamond"/>
        </w:rPr>
        <w:t xml:space="preserve"> as they are often subject to change. Instead, we direct readers towards the website’s </w:t>
      </w:r>
      <w:r w:rsidR="007E619F">
        <w:rPr>
          <w:rFonts w:ascii="Garamond" w:hAnsi="Garamond"/>
        </w:rPr>
        <w:t>home</w:t>
      </w:r>
      <w:r w:rsidRPr="00B37BF7">
        <w:rPr>
          <w:rFonts w:ascii="Garamond" w:hAnsi="Garamond"/>
        </w:rPr>
        <w:t>page</w:t>
      </w:r>
      <w:r w:rsidR="002A1478" w:rsidRPr="00B37BF7">
        <w:rPr>
          <w:rFonts w:ascii="Garamond" w:hAnsi="Garamond"/>
        </w:rPr>
        <w:t xml:space="preserve"> and allow them to navigate to the </w:t>
      </w:r>
      <w:r w:rsidR="007E619F">
        <w:rPr>
          <w:rFonts w:ascii="Garamond" w:hAnsi="Garamond"/>
        </w:rPr>
        <w:t>reference</w:t>
      </w:r>
      <w:r w:rsidR="002A1478" w:rsidRPr="00B37BF7">
        <w:rPr>
          <w:rFonts w:ascii="Garamond" w:hAnsi="Garamond"/>
        </w:rPr>
        <w:t xml:space="preserve"> from there</w:t>
      </w:r>
      <w:r w:rsidRPr="00B37BF7">
        <w:rPr>
          <w:rFonts w:ascii="Garamond" w:hAnsi="Garamond"/>
        </w:rPr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7B7C4B" w14:paraId="2D05D86E" w14:textId="77777777" w:rsidTr="00B37BF7">
        <w:tc>
          <w:tcPr>
            <w:tcW w:w="4508" w:type="dxa"/>
          </w:tcPr>
          <w:p w14:paraId="5BF005A1" w14:textId="375B9DA1" w:rsidR="007B7C4B" w:rsidRPr="00B37BF7" w:rsidRDefault="007B7C4B" w:rsidP="007B7C4B">
            <w:pPr>
              <w:spacing w:after="60"/>
              <w:rPr>
                <w:rFonts w:ascii="Garamond" w:hAnsi="Garamond"/>
              </w:rPr>
            </w:pPr>
            <w:r w:rsidRPr="00B37BF7">
              <w:rPr>
                <w:rFonts w:ascii="Garamond" w:hAnsi="Garamond"/>
                <w:b/>
                <w:bCs/>
                <w:i/>
                <w:iCs/>
              </w:rPr>
              <w:t>Online Resourc</w:t>
            </w:r>
            <w:r>
              <w:rPr>
                <w:rFonts w:ascii="Garamond" w:hAnsi="Garamond"/>
                <w:b/>
                <w:bCs/>
                <w:i/>
                <w:iCs/>
              </w:rPr>
              <w:t>es</w:t>
            </w:r>
            <w:r w:rsidRPr="00B37BF7">
              <w:rPr>
                <w:rFonts w:ascii="Garamond" w:hAnsi="Garamond"/>
              </w:rPr>
              <w:t xml:space="preserve"> </w:t>
            </w:r>
          </w:p>
          <w:p w14:paraId="2214E64E" w14:textId="77777777" w:rsidR="007B7C4B" w:rsidRDefault="007B7C4B" w:rsidP="007B7C4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Jill Smith, </w:t>
            </w:r>
            <w:r>
              <w:rPr>
                <w:rFonts w:ascii="Garamond" w:hAnsi="Garamond"/>
                <w:i/>
                <w:iCs/>
              </w:rPr>
              <w:t xml:space="preserve">A Catalogue of Paintings by John Bloggs </w:t>
            </w:r>
            <w:r>
              <w:rPr>
                <w:rFonts w:ascii="Garamond" w:hAnsi="Garamond"/>
              </w:rPr>
              <w:t xml:space="preserve">(online resource), at www.jillsmith.com [accessed: 6/10/2025]. </w:t>
            </w:r>
          </w:p>
          <w:p w14:paraId="5018012C" w14:textId="77777777" w:rsidR="007B7C4B" w:rsidRDefault="007B7C4B" w:rsidP="007B7C4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4508" w:type="dxa"/>
          </w:tcPr>
          <w:p w14:paraId="02ACADCB" w14:textId="77777777" w:rsidR="007B7C4B" w:rsidRPr="00B37BF7" w:rsidRDefault="007B7C4B" w:rsidP="007B7C4B">
            <w:pPr>
              <w:spacing w:after="60"/>
              <w:rPr>
                <w:rFonts w:ascii="Garamond" w:hAnsi="Garamond"/>
                <w:b/>
                <w:bCs/>
                <w:i/>
                <w:iCs/>
              </w:rPr>
            </w:pPr>
            <w:r w:rsidRPr="00B37BF7">
              <w:rPr>
                <w:rFonts w:ascii="Garamond" w:hAnsi="Garamond"/>
                <w:b/>
                <w:bCs/>
                <w:i/>
                <w:iCs/>
              </w:rPr>
              <w:t xml:space="preserve">Online Editions of Books </w:t>
            </w:r>
          </w:p>
          <w:p w14:paraId="3593F41A" w14:textId="77777777" w:rsidR="007B7C4B" w:rsidRDefault="007B7C4B" w:rsidP="007B7C4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Jill Smith, ‘Bloggs, John’, </w:t>
            </w:r>
            <w:r>
              <w:rPr>
                <w:rFonts w:ascii="Garamond" w:hAnsi="Garamond"/>
                <w:i/>
                <w:iCs/>
              </w:rPr>
              <w:t xml:space="preserve">Oxford Dictionary of National Biography </w:t>
            </w:r>
            <w:r>
              <w:rPr>
                <w:rFonts w:ascii="Garamond" w:hAnsi="Garamond"/>
              </w:rPr>
              <w:t xml:space="preserve">(Oxford, 2004; online </w:t>
            </w:r>
            <w:proofErr w:type="spellStart"/>
            <w:r>
              <w:rPr>
                <w:rFonts w:ascii="Garamond" w:hAnsi="Garamond"/>
              </w:rPr>
              <w:t>edn</w:t>
            </w:r>
            <w:proofErr w:type="spellEnd"/>
            <w:r>
              <w:rPr>
                <w:rFonts w:ascii="Garamond" w:hAnsi="Garamond"/>
              </w:rPr>
              <w:t xml:space="preserve">, 2022), at www.oxforddnb.com [accessed: 6th October 2025].  </w:t>
            </w:r>
          </w:p>
          <w:p w14:paraId="43F1C455" w14:textId="77777777" w:rsidR="007B7C4B" w:rsidRDefault="007B7C4B" w:rsidP="007B7C4B">
            <w:pPr>
              <w:rPr>
                <w:rFonts w:ascii="Garamond" w:hAnsi="Garamond"/>
                <w:b/>
                <w:bCs/>
              </w:rPr>
            </w:pPr>
          </w:p>
        </w:tc>
      </w:tr>
    </w:tbl>
    <w:p w14:paraId="550DACA8" w14:textId="00608710" w:rsidR="008417BA" w:rsidRDefault="00BC38BA" w:rsidP="00B37BF7">
      <w:pPr>
        <w:spacing w:before="240" w:after="120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Citing</w:t>
      </w:r>
      <w:r w:rsidR="008417BA">
        <w:rPr>
          <w:rFonts w:ascii="Garamond" w:hAnsi="Garamond"/>
          <w:b/>
          <w:bCs/>
          <w:sz w:val="28"/>
          <w:szCs w:val="28"/>
        </w:rPr>
        <w:t xml:space="preserve"> Archival Materials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417BA" w14:paraId="59E750DC" w14:textId="77777777" w:rsidTr="00B37BF7">
        <w:tc>
          <w:tcPr>
            <w:tcW w:w="4508" w:type="dxa"/>
          </w:tcPr>
          <w:p w14:paraId="082E8D9B" w14:textId="77777777" w:rsidR="006B063D" w:rsidRPr="00FC4898" w:rsidRDefault="006B063D" w:rsidP="006B063D">
            <w:pPr>
              <w:spacing w:after="6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  <w:i/>
                <w:iCs/>
              </w:rPr>
              <w:t xml:space="preserve">Museum Objects   </w:t>
            </w:r>
          </w:p>
          <w:p w14:paraId="73810C05" w14:textId="7CFB2D60" w:rsidR="008417BA" w:rsidRDefault="006B063D" w:rsidP="00B37BF7">
            <w:pPr>
              <w:spacing w:after="6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 xml:space="preserve">Victoria and Albert Museum, London, </w:t>
            </w:r>
            <w:r w:rsidRPr="008417BA">
              <w:rPr>
                <w:rFonts w:ascii="Garamond" w:hAnsi="Garamond"/>
              </w:rPr>
              <w:t>W.52:1, 2-1925</w:t>
            </w:r>
            <w:r>
              <w:rPr>
                <w:rFonts w:ascii="Garamond" w:hAnsi="Garamond"/>
              </w:rPr>
              <w:t>.</w:t>
            </w:r>
          </w:p>
        </w:tc>
        <w:tc>
          <w:tcPr>
            <w:tcW w:w="4508" w:type="dxa"/>
          </w:tcPr>
          <w:p w14:paraId="38B70AB6" w14:textId="111E2A32" w:rsidR="008417BA" w:rsidRPr="00FC4898" w:rsidRDefault="008417BA" w:rsidP="00FC4898">
            <w:pPr>
              <w:spacing w:after="60"/>
              <w:rPr>
                <w:rFonts w:ascii="Garamond" w:hAnsi="Garamond"/>
                <w:b/>
                <w:bCs/>
                <w:i/>
                <w:iCs/>
              </w:rPr>
            </w:pPr>
            <w:r>
              <w:rPr>
                <w:rFonts w:ascii="Garamond" w:hAnsi="Garamond"/>
                <w:b/>
                <w:bCs/>
                <w:i/>
                <w:iCs/>
              </w:rPr>
              <w:t xml:space="preserve">Manuscripts </w:t>
            </w:r>
          </w:p>
          <w:p w14:paraId="0C7AB10F" w14:textId="3C94CD27" w:rsidR="008417BA" w:rsidRDefault="00753975" w:rsidP="00FC4898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 xml:space="preserve">Bodleian Library, Oxford, </w:t>
            </w:r>
            <w:r w:rsidRPr="00753975">
              <w:rPr>
                <w:rFonts w:ascii="Garamond" w:hAnsi="Garamond"/>
              </w:rPr>
              <w:t xml:space="preserve">MS. Tanner 145, </w:t>
            </w:r>
            <w:r>
              <w:rPr>
                <w:rFonts w:ascii="Garamond" w:hAnsi="Garamond"/>
              </w:rPr>
              <w:t>f.</w:t>
            </w:r>
            <w:r w:rsidRPr="00753975">
              <w:rPr>
                <w:rFonts w:ascii="Garamond" w:hAnsi="Garamond"/>
              </w:rPr>
              <w:t xml:space="preserve"> 117</w:t>
            </w:r>
            <w:r>
              <w:rPr>
                <w:rFonts w:ascii="Garamond" w:hAnsi="Garamond"/>
              </w:rPr>
              <w:t xml:space="preserve">r. </w:t>
            </w:r>
          </w:p>
        </w:tc>
      </w:tr>
      <w:tr w:rsidR="006B063D" w14:paraId="428F00FD" w14:textId="77777777" w:rsidTr="00B37BF7">
        <w:tc>
          <w:tcPr>
            <w:tcW w:w="4508" w:type="dxa"/>
          </w:tcPr>
          <w:p w14:paraId="42716E7A" w14:textId="77777777" w:rsidR="006B063D" w:rsidRDefault="006B063D" w:rsidP="007B1A91">
            <w:pPr>
              <w:keepNext/>
              <w:spacing w:after="60"/>
              <w:rPr>
                <w:rFonts w:ascii="Garamond" w:hAnsi="Garamond"/>
                <w:b/>
                <w:bCs/>
                <w:i/>
                <w:iCs/>
              </w:rPr>
            </w:pPr>
            <w:r>
              <w:rPr>
                <w:rFonts w:ascii="Garamond" w:hAnsi="Garamond"/>
                <w:b/>
                <w:bCs/>
                <w:i/>
                <w:iCs/>
              </w:rPr>
              <w:lastRenderedPageBreak/>
              <w:t xml:space="preserve">Wills </w:t>
            </w:r>
          </w:p>
          <w:p w14:paraId="170F6105" w14:textId="30C0802C" w:rsidR="006B063D" w:rsidRPr="00B37BF7" w:rsidRDefault="006B063D" w:rsidP="00B37BF7">
            <w:pPr>
              <w:keepNext/>
              <w:rPr>
                <w:rFonts w:ascii="Garamond" w:hAnsi="Garamond"/>
              </w:rPr>
            </w:pPr>
            <w:r w:rsidRPr="00753975">
              <w:rPr>
                <w:rFonts w:ascii="Garamond" w:hAnsi="Garamond"/>
              </w:rPr>
              <w:t xml:space="preserve">Will of George </w:t>
            </w:r>
            <w:proofErr w:type="spellStart"/>
            <w:r w:rsidRPr="00753975">
              <w:rPr>
                <w:rFonts w:ascii="Garamond" w:hAnsi="Garamond"/>
              </w:rPr>
              <w:t>Vertue</w:t>
            </w:r>
            <w:proofErr w:type="spellEnd"/>
            <w:r w:rsidRPr="00753975">
              <w:rPr>
                <w:rFonts w:ascii="Garamond" w:hAnsi="Garamond"/>
              </w:rPr>
              <w:t>, Engraver of Saint Giles in the Fields, Middlesex</w:t>
            </w:r>
            <w:r w:rsidRPr="00624DA4">
              <w:rPr>
                <w:rFonts w:ascii="Garamond" w:hAnsi="Garamond"/>
              </w:rPr>
              <w:t xml:space="preserve">, probate 26 </w:t>
            </w:r>
            <w:r>
              <w:rPr>
                <w:rFonts w:ascii="Garamond" w:hAnsi="Garamond"/>
              </w:rPr>
              <w:t>July 1756</w:t>
            </w:r>
            <w:r w:rsidRPr="00624DA4">
              <w:rPr>
                <w:rFonts w:ascii="Garamond" w:hAnsi="Garamond"/>
              </w:rPr>
              <w:t>, The</w:t>
            </w:r>
            <w:r>
              <w:rPr>
                <w:rFonts w:ascii="Garamond" w:hAnsi="Garamond"/>
              </w:rPr>
              <w:t xml:space="preserve"> </w:t>
            </w:r>
            <w:r w:rsidRPr="00624DA4">
              <w:rPr>
                <w:rFonts w:ascii="Garamond" w:hAnsi="Garamond"/>
              </w:rPr>
              <w:t xml:space="preserve">National Archives, </w:t>
            </w:r>
            <w:r w:rsidRPr="00753975">
              <w:rPr>
                <w:rFonts w:ascii="Garamond" w:hAnsi="Garamond"/>
              </w:rPr>
              <w:t>PROB 11/824/132</w:t>
            </w:r>
            <w:r>
              <w:rPr>
                <w:rFonts w:ascii="Garamond" w:hAnsi="Garamond"/>
              </w:rPr>
              <w:t xml:space="preserve">, </w:t>
            </w:r>
            <w:r w:rsidRPr="00624DA4">
              <w:rPr>
                <w:rFonts w:ascii="Garamond" w:hAnsi="Garamond"/>
              </w:rPr>
              <w:t xml:space="preserve">ff. </w:t>
            </w:r>
            <w:r>
              <w:rPr>
                <w:rFonts w:ascii="Garamond" w:hAnsi="Garamond"/>
              </w:rPr>
              <w:t>76r</w:t>
            </w:r>
            <w:r w:rsidRPr="00624DA4">
              <w:rPr>
                <w:rFonts w:ascii="Garamond" w:hAnsi="Garamond"/>
              </w:rPr>
              <w:t>–</w:t>
            </w:r>
            <w:r>
              <w:rPr>
                <w:rFonts w:ascii="Garamond" w:hAnsi="Garamond"/>
              </w:rPr>
              <w:t>77r</w:t>
            </w:r>
            <w:r w:rsidRPr="00624DA4">
              <w:rPr>
                <w:rFonts w:ascii="Garamond" w:hAnsi="Garamond"/>
              </w:rPr>
              <w:t>.</w:t>
            </w:r>
          </w:p>
        </w:tc>
        <w:tc>
          <w:tcPr>
            <w:tcW w:w="4508" w:type="dxa"/>
          </w:tcPr>
          <w:p w14:paraId="4409AF18" w14:textId="77777777" w:rsidR="006B063D" w:rsidRDefault="006B063D" w:rsidP="006B063D">
            <w:pPr>
              <w:spacing w:after="60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</w:tbl>
    <w:p w14:paraId="04DDF53B" w14:textId="77777777" w:rsidR="00D40EE4" w:rsidRPr="00D40EE4" w:rsidRDefault="00753975" w:rsidP="007B1A91">
      <w:pPr>
        <w:spacing w:before="240" w:after="120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Other </w:t>
      </w:r>
      <w:r w:rsidR="002A1478">
        <w:rPr>
          <w:rFonts w:ascii="Garamond" w:hAnsi="Garamond"/>
          <w:b/>
          <w:bCs/>
          <w:sz w:val="28"/>
          <w:szCs w:val="28"/>
        </w:rPr>
        <w:t xml:space="preserve">Conventions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40EE4" w:rsidRPr="00D40EE4" w14:paraId="6CA73E4D" w14:textId="77777777" w:rsidTr="000E359D">
        <w:tc>
          <w:tcPr>
            <w:tcW w:w="9016" w:type="dxa"/>
          </w:tcPr>
          <w:p w14:paraId="52157FC5" w14:textId="77777777" w:rsidR="00D40EE4" w:rsidRDefault="00D40EE4" w:rsidP="000E208E">
            <w:pPr>
              <w:spacing w:after="60"/>
              <w:rPr>
                <w:rFonts w:ascii="Garamond" w:hAnsi="Garamond"/>
                <w:b/>
                <w:bCs/>
                <w:i/>
                <w:iCs/>
              </w:rPr>
            </w:pPr>
            <w:r>
              <w:rPr>
                <w:rFonts w:ascii="Garamond" w:hAnsi="Garamond"/>
                <w:b/>
                <w:bCs/>
                <w:i/>
                <w:iCs/>
              </w:rPr>
              <w:t>Currency</w:t>
            </w:r>
          </w:p>
          <w:p w14:paraId="1DD39045" w14:textId="77777777" w:rsidR="00D40EE4" w:rsidRPr="00BC38BA" w:rsidRDefault="00D40EE4" w:rsidP="000E208E">
            <w:pPr>
              <w:spacing w:after="60"/>
              <w:rPr>
                <w:rFonts w:ascii="Garamond" w:hAnsi="Garamond"/>
              </w:rPr>
            </w:pPr>
            <w:r w:rsidRPr="00BC38BA">
              <w:rPr>
                <w:rFonts w:ascii="Garamond" w:hAnsi="Garamond"/>
              </w:rPr>
              <w:t>Pre-decimal money is:</w:t>
            </w:r>
          </w:p>
          <w:p w14:paraId="58526987" w14:textId="77777777" w:rsidR="00D40EE4" w:rsidRPr="00D40EE4" w:rsidRDefault="00D40EE4" w:rsidP="00B37BF7">
            <w:pPr>
              <w:spacing w:after="120"/>
              <w:ind w:left="284"/>
              <w:rPr>
                <w:rFonts w:ascii="Garamond" w:hAnsi="Garamond"/>
              </w:rPr>
            </w:pPr>
            <w:r w:rsidRPr="00FC4898">
              <w:rPr>
                <w:rFonts w:ascii="Garamond" w:hAnsi="Garamond"/>
              </w:rPr>
              <w:t>£10 10</w:t>
            </w:r>
            <w:r w:rsidRPr="00FC4898">
              <w:rPr>
                <w:rFonts w:ascii="Garamond" w:hAnsi="Garamond"/>
                <w:i/>
                <w:iCs/>
              </w:rPr>
              <w:t>s</w:t>
            </w:r>
            <w:r w:rsidRPr="00FC4898">
              <w:rPr>
                <w:rFonts w:ascii="Garamond" w:hAnsi="Garamond"/>
              </w:rPr>
              <w:t xml:space="preserve"> 10</w:t>
            </w:r>
            <w:r w:rsidRPr="00FC4898">
              <w:rPr>
                <w:rFonts w:ascii="Garamond" w:hAnsi="Garamond"/>
                <w:i/>
                <w:iCs/>
              </w:rPr>
              <w:t>d</w:t>
            </w:r>
          </w:p>
        </w:tc>
      </w:tr>
      <w:tr w:rsidR="00D40EE4" w14:paraId="61C543B6" w14:textId="77777777" w:rsidTr="000E359D">
        <w:tc>
          <w:tcPr>
            <w:tcW w:w="9016" w:type="dxa"/>
          </w:tcPr>
          <w:p w14:paraId="7F278DF5" w14:textId="77777777" w:rsidR="00D40EE4" w:rsidRDefault="00D40EE4" w:rsidP="00D40EE4">
            <w:pPr>
              <w:rPr>
                <w:rFonts w:ascii="Garamond" w:hAnsi="Garamond"/>
                <w:b/>
                <w:bCs/>
                <w:i/>
                <w:iCs/>
              </w:rPr>
            </w:pPr>
            <w:r>
              <w:rPr>
                <w:rFonts w:ascii="Garamond" w:hAnsi="Garamond"/>
                <w:b/>
                <w:bCs/>
                <w:i/>
                <w:iCs/>
              </w:rPr>
              <w:t xml:space="preserve">Dimensions </w:t>
            </w:r>
          </w:p>
          <w:p w14:paraId="2B7DF441" w14:textId="77777777" w:rsidR="00D40EE4" w:rsidRPr="00B37BF7" w:rsidRDefault="00D40EE4" w:rsidP="00D40EE4">
            <w:pPr>
              <w:spacing w:after="60"/>
              <w:rPr>
                <w:rFonts w:ascii="Garamond" w:hAnsi="Garamond"/>
              </w:rPr>
            </w:pPr>
            <w:r w:rsidRPr="00B37BF7">
              <w:rPr>
                <w:rFonts w:ascii="Garamond" w:hAnsi="Garamond"/>
              </w:rPr>
              <w:t>Unless they are extremely large, dimensions of works of art are given in centimetres</w:t>
            </w:r>
            <w:r>
              <w:rPr>
                <w:rFonts w:ascii="Garamond" w:hAnsi="Garamond"/>
              </w:rPr>
              <w:t>; ‘</w:t>
            </w:r>
            <w:r w:rsidRPr="007E619F">
              <w:rPr>
                <w:rFonts w:ascii="Garamond" w:hAnsi="Garamond"/>
              </w:rPr>
              <w:t>cm</w:t>
            </w:r>
            <w:r>
              <w:rPr>
                <w:rFonts w:ascii="Garamond" w:hAnsi="Garamond"/>
              </w:rPr>
              <w:t>’</w:t>
            </w:r>
            <w:r w:rsidRPr="007E619F">
              <w:rPr>
                <w:rFonts w:ascii="Garamond" w:hAnsi="Garamond"/>
              </w:rPr>
              <w:t xml:space="preserve"> </w:t>
            </w:r>
            <w:r w:rsidRPr="00B37BF7">
              <w:rPr>
                <w:rFonts w:ascii="Garamond" w:hAnsi="Garamond"/>
              </w:rPr>
              <w:t>and</w:t>
            </w:r>
            <w:r w:rsidRPr="007E619F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‘</w:t>
            </w:r>
            <w:r w:rsidRPr="007E619F">
              <w:rPr>
                <w:rFonts w:ascii="Garamond" w:hAnsi="Garamond"/>
              </w:rPr>
              <w:t>ft</w:t>
            </w:r>
            <w:r>
              <w:rPr>
                <w:rFonts w:ascii="Garamond" w:hAnsi="Garamond"/>
              </w:rPr>
              <w:t>’</w:t>
            </w:r>
            <w:r w:rsidRPr="007E619F">
              <w:rPr>
                <w:rFonts w:ascii="Garamond" w:hAnsi="Garamond"/>
              </w:rPr>
              <w:t xml:space="preserve"> </w:t>
            </w:r>
            <w:r w:rsidRPr="00B37BF7">
              <w:rPr>
                <w:rFonts w:ascii="Garamond" w:hAnsi="Garamond"/>
              </w:rPr>
              <w:t>have no full stop and there is a space between the digit and the scale, so:</w:t>
            </w:r>
          </w:p>
          <w:p w14:paraId="00AC0194" w14:textId="1A102C05" w:rsidR="00D40EE4" w:rsidRPr="00D40EE4" w:rsidRDefault="00D40EE4" w:rsidP="00B37BF7">
            <w:pPr>
              <w:spacing w:after="120"/>
              <w:ind w:left="284"/>
              <w:rPr>
                <w:rFonts w:ascii="Garamond" w:hAnsi="Garamond"/>
              </w:rPr>
            </w:pPr>
            <w:r w:rsidRPr="00FC4898">
              <w:rPr>
                <w:rFonts w:ascii="Garamond" w:hAnsi="Garamond"/>
              </w:rPr>
              <w:t>5 ft 5 in</w:t>
            </w:r>
            <w:r>
              <w:rPr>
                <w:rFonts w:ascii="Garamond" w:hAnsi="Garamond"/>
              </w:rPr>
              <w:t>; 101 cm</w:t>
            </w:r>
          </w:p>
        </w:tc>
      </w:tr>
      <w:tr w:rsidR="00D40EE4" w14:paraId="4D9C3F64" w14:textId="77777777" w:rsidTr="000E359D">
        <w:tc>
          <w:tcPr>
            <w:tcW w:w="9016" w:type="dxa"/>
          </w:tcPr>
          <w:p w14:paraId="4B02B214" w14:textId="77777777" w:rsidR="00D40EE4" w:rsidRPr="00A92E32" w:rsidRDefault="00D40EE4" w:rsidP="00D40EE4">
            <w:pPr>
              <w:rPr>
                <w:rFonts w:ascii="Garamond" w:hAnsi="Garamond"/>
                <w:b/>
                <w:bCs/>
                <w:i/>
                <w:iCs/>
              </w:rPr>
            </w:pPr>
            <w:r w:rsidRPr="00A92E32">
              <w:rPr>
                <w:rFonts w:ascii="Garamond" w:hAnsi="Garamond"/>
                <w:b/>
                <w:bCs/>
                <w:i/>
                <w:iCs/>
              </w:rPr>
              <w:t>Endnotes</w:t>
            </w:r>
          </w:p>
          <w:p w14:paraId="0108E740" w14:textId="41768115" w:rsidR="00D40EE4" w:rsidRPr="00D40EE4" w:rsidRDefault="00D40EE4" w:rsidP="00B37BF7">
            <w:pPr>
              <w:spacing w:after="120"/>
              <w:rPr>
                <w:rFonts w:ascii="Garamond" w:hAnsi="Garamond"/>
              </w:rPr>
            </w:pPr>
            <w:r w:rsidRPr="00B37BF7">
              <w:rPr>
                <w:rFonts w:ascii="Garamond" w:hAnsi="Garamond"/>
              </w:rPr>
              <w:t xml:space="preserve">Usually appear at the end of a text, rather than at the foot of each page. </w:t>
            </w:r>
          </w:p>
        </w:tc>
      </w:tr>
      <w:tr w:rsidR="00D40EE4" w14:paraId="5933BDBD" w14:textId="77777777" w:rsidTr="000E359D">
        <w:tc>
          <w:tcPr>
            <w:tcW w:w="9016" w:type="dxa"/>
          </w:tcPr>
          <w:p w14:paraId="73B17E8A" w14:textId="77777777" w:rsidR="00D40EE4" w:rsidRDefault="00D40EE4" w:rsidP="001D671A">
            <w:pPr>
              <w:rPr>
                <w:rFonts w:ascii="Garamond" w:hAnsi="Garamond"/>
                <w:b/>
                <w:bCs/>
                <w:i/>
                <w:iCs/>
              </w:rPr>
            </w:pPr>
            <w:r>
              <w:rPr>
                <w:rFonts w:ascii="Garamond" w:hAnsi="Garamond"/>
                <w:b/>
                <w:bCs/>
                <w:i/>
                <w:iCs/>
              </w:rPr>
              <w:t xml:space="preserve">Image Captions </w:t>
            </w:r>
          </w:p>
          <w:p w14:paraId="7B50644C" w14:textId="77777777" w:rsidR="00D40EE4" w:rsidRPr="00B37BF7" w:rsidRDefault="00D40EE4" w:rsidP="001D671A">
            <w:pPr>
              <w:spacing w:after="60"/>
              <w:rPr>
                <w:rFonts w:ascii="Garamond" w:hAnsi="Garamond"/>
              </w:rPr>
            </w:pPr>
            <w:r w:rsidRPr="00B37BF7">
              <w:rPr>
                <w:rFonts w:ascii="Garamond" w:hAnsi="Garamond"/>
              </w:rPr>
              <w:t xml:space="preserve">In the case of a catalogue or within a transcript, the caption may simply refer to the catalogue entry or page of the manuscript it illustrates. </w:t>
            </w:r>
            <w:r>
              <w:rPr>
                <w:rFonts w:ascii="Garamond" w:hAnsi="Garamond"/>
              </w:rPr>
              <w:t>Other</w:t>
            </w:r>
            <w:r w:rsidRPr="00B37BF7">
              <w:rPr>
                <w:rFonts w:ascii="Garamond" w:hAnsi="Garamond"/>
              </w:rPr>
              <w:t xml:space="preserve"> captions should be in the below format and never discursive: </w:t>
            </w:r>
          </w:p>
          <w:p w14:paraId="5624B4AA" w14:textId="77777777" w:rsidR="00D40EE4" w:rsidRPr="00D40EE4" w:rsidRDefault="00D40EE4" w:rsidP="00B37BF7">
            <w:pPr>
              <w:spacing w:after="120"/>
              <w:ind w:left="284"/>
              <w:rPr>
                <w:rFonts w:ascii="Garamond" w:hAnsi="Garamond"/>
              </w:rPr>
            </w:pPr>
            <w:r w:rsidRPr="00FC4898">
              <w:rPr>
                <w:rFonts w:ascii="Garamond" w:hAnsi="Garamond"/>
                <w:b/>
                <w:bCs/>
              </w:rPr>
              <w:t>Fig. 00</w:t>
            </w:r>
            <w:r w:rsidRPr="00FC4898">
              <w:rPr>
                <w:rFonts w:ascii="Garamond" w:hAnsi="Garamond"/>
              </w:rPr>
              <w:t xml:space="preserve">   Artist(s) or Maker(s), </w:t>
            </w:r>
            <w:r w:rsidRPr="00FC4898">
              <w:rPr>
                <w:rFonts w:ascii="Garamond" w:hAnsi="Garamond"/>
                <w:i/>
                <w:iCs/>
              </w:rPr>
              <w:t>Title</w:t>
            </w:r>
            <w:r w:rsidRPr="00FC4898">
              <w:rPr>
                <w:rFonts w:ascii="Garamond" w:hAnsi="Garamond"/>
              </w:rPr>
              <w:t xml:space="preserve"> (year). Medium, dimensions in centimetres. Owner (copyright statement)</w:t>
            </w:r>
            <w:r>
              <w:rPr>
                <w:rFonts w:ascii="Garamond" w:hAnsi="Garamond"/>
              </w:rPr>
              <w:t>.</w:t>
            </w:r>
          </w:p>
        </w:tc>
      </w:tr>
      <w:tr w:rsidR="00D40EE4" w14:paraId="1CA9CF1B" w14:textId="77777777" w:rsidTr="000E359D">
        <w:tc>
          <w:tcPr>
            <w:tcW w:w="9016" w:type="dxa"/>
          </w:tcPr>
          <w:p w14:paraId="72315E87" w14:textId="77777777" w:rsidR="00D40EE4" w:rsidRPr="00B37BF7" w:rsidRDefault="00D40EE4" w:rsidP="00D40EE4">
            <w:pPr>
              <w:rPr>
                <w:rFonts w:ascii="Garamond" w:hAnsi="Garamond"/>
                <w:b/>
                <w:bCs/>
                <w:i/>
                <w:iCs/>
              </w:rPr>
            </w:pPr>
            <w:r w:rsidRPr="00B37BF7">
              <w:rPr>
                <w:rFonts w:ascii="Garamond" w:hAnsi="Garamond"/>
                <w:b/>
                <w:bCs/>
                <w:i/>
                <w:iCs/>
              </w:rPr>
              <w:t>Italicised text</w:t>
            </w:r>
          </w:p>
          <w:p w14:paraId="08FAE82E" w14:textId="6B0460A5" w:rsidR="00D40EE4" w:rsidRPr="00D40EE4" w:rsidRDefault="00D40EE4" w:rsidP="00B37BF7">
            <w:pPr>
              <w:spacing w:after="120"/>
              <w:rPr>
                <w:rFonts w:ascii="Garamond" w:hAnsi="Garamond"/>
              </w:rPr>
            </w:pPr>
            <w:r w:rsidRPr="00FC4898">
              <w:rPr>
                <w:rFonts w:ascii="Garamond" w:hAnsi="Garamond"/>
              </w:rPr>
              <w:t>Titles of books and works of art are in italics</w:t>
            </w:r>
            <w:r>
              <w:rPr>
                <w:rFonts w:ascii="Garamond" w:hAnsi="Garamond"/>
              </w:rPr>
              <w:t>, as are foreign phrases incorporated into English, e.g.</w:t>
            </w:r>
            <w:r w:rsidRPr="00FC4898">
              <w:rPr>
                <w:rFonts w:ascii="Garamond" w:hAnsi="Garamond"/>
              </w:rPr>
              <w:t xml:space="preserve"> </w:t>
            </w:r>
            <w:r w:rsidRPr="00FC4898">
              <w:rPr>
                <w:rFonts w:ascii="Garamond" w:hAnsi="Garamond"/>
                <w:i/>
                <w:iCs/>
              </w:rPr>
              <w:t>trompe l'oeil, circa</w:t>
            </w:r>
            <w:r w:rsidRPr="00FC4898">
              <w:rPr>
                <w:rFonts w:ascii="Garamond" w:hAnsi="Garamond"/>
              </w:rPr>
              <w:t xml:space="preserve"> (usually abbreviated to </w:t>
            </w:r>
            <w:r w:rsidRPr="00FC4898">
              <w:rPr>
                <w:rFonts w:ascii="Garamond" w:hAnsi="Garamond"/>
                <w:i/>
                <w:iCs/>
              </w:rPr>
              <w:t>c.</w:t>
            </w:r>
            <w:r w:rsidRPr="00FC4898">
              <w:rPr>
                <w:rFonts w:ascii="Garamond" w:hAnsi="Garamond"/>
              </w:rPr>
              <w:t>, as above).</w:t>
            </w:r>
          </w:p>
        </w:tc>
      </w:tr>
      <w:tr w:rsidR="00D40EE4" w14:paraId="41824279" w14:textId="77777777" w:rsidTr="000E359D">
        <w:tc>
          <w:tcPr>
            <w:tcW w:w="9016" w:type="dxa"/>
          </w:tcPr>
          <w:p w14:paraId="7A03A16B" w14:textId="77777777" w:rsidR="007B1A91" w:rsidRDefault="007B1A91" w:rsidP="007B1A91">
            <w:pPr>
              <w:spacing w:after="60"/>
              <w:rPr>
                <w:rFonts w:ascii="Garamond" w:hAnsi="Garamond"/>
                <w:b/>
                <w:bCs/>
                <w:i/>
                <w:iCs/>
              </w:rPr>
            </w:pPr>
            <w:r>
              <w:rPr>
                <w:rFonts w:ascii="Garamond" w:hAnsi="Garamond"/>
                <w:b/>
                <w:bCs/>
                <w:i/>
                <w:iCs/>
              </w:rPr>
              <w:t xml:space="preserve">Latin Terms </w:t>
            </w:r>
          </w:p>
          <w:p w14:paraId="10D47467" w14:textId="55621349" w:rsidR="00D40EE4" w:rsidRPr="00D40EE4" w:rsidRDefault="000E359D" w:rsidP="00B37BF7">
            <w:pPr>
              <w:spacing w:after="1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We discourage the</w:t>
            </w:r>
            <w:r w:rsidR="007B1A91" w:rsidRPr="00B37BF7">
              <w:rPr>
                <w:rFonts w:ascii="Garamond" w:hAnsi="Garamond"/>
              </w:rPr>
              <w:t xml:space="preserve"> use of Latin abbreviations and citation terms such as </w:t>
            </w:r>
            <w:r w:rsidR="007B1A91" w:rsidRPr="00B37BF7">
              <w:rPr>
                <w:rFonts w:ascii="Garamond" w:hAnsi="Garamond"/>
                <w:i/>
                <w:iCs/>
              </w:rPr>
              <w:t>Ibid.</w:t>
            </w:r>
            <w:r w:rsidR="007B1A91" w:rsidRPr="007E619F">
              <w:rPr>
                <w:rFonts w:ascii="Garamond" w:hAnsi="Garamond"/>
              </w:rPr>
              <w:t xml:space="preserve">, </w:t>
            </w:r>
            <w:r w:rsidR="007B1A91" w:rsidRPr="00B37BF7">
              <w:rPr>
                <w:rFonts w:ascii="Garamond" w:hAnsi="Garamond"/>
                <w:i/>
                <w:iCs/>
              </w:rPr>
              <w:t>Idem.</w:t>
            </w:r>
            <w:r w:rsidR="007B1A91" w:rsidRPr="007E619F">
              <w:rPr>
                <w:rFonts w:ascii="Garamond" w:hAnsi="Garamond"/>
              </w:rPr>
              <w:t xml:space="preserve"> </w:t>
            </w:r>
            <w:r w:rsidR="007B1A91" w:rsidRPr="00B37BF7">
              <w:rPr>
                <w:rFonts w:ascii="Garamond" w:hAnsi="Garamond"/>
              </w:rPr>
              <w:t xml:space="preserve">and </w:t>
            </w:r>
            <w:r w:rsidR="007B1A91" w:rsidRPr="00B37BF7">
              <w:rPr>
                <w:rFonts w:ascii="Garamond" w:hAnsi="Garamond"/>
                <w:i/>
                <w:iCs/>
              </w:rPr>
              <w:t>quod vide</w:t>
            </w:r>
            <w:r>
              <w:rPr>
                <w:rFonts w:ascii="Garamond" w:hAnsi="Garamond"/>
                <w:i/>
                <w:iCs/>
              </w:rPr>
              <w:t xml:space="preserve"> </w:t>
            </w:r>
            <w:r>
              <w:rPr>
                <w:rFonts w:ascii="Garamond" w:hAnsi="Garamond"/>
              </w:rPr>
              <w:t>so as to ensure the articles we publish can be readily understood by a wide audience</w:t>
            </w:r>
            <w:r w:rsidR="007B1A91" w:rsidRPr="007E619F">
              <w:rPr>
                <w:rFonts w:ascii="Garamond" w:hAnsi="Garamond"/>
              </w:rPr>
              <w:t>.</w:t>
            </w:r>
          </w:p>
        </w:tc>
      </w:tr>
      <w:tr w:rsidR="007B1A91" w14:paraId="02679B30" w14:textId="77777777" w:rsidTr="000E359D">
        <w:tc>
          <w:tcPr>
            <w:tcW w:w="9016" w:type="dxa"/>
          </w:tcPr>
          <w:p w14:paraId="5777D5E8" w14:textId="77777777" w:rsidR="007B1A91" w:rsidRDefault="007B1A91" w:rsidP="007B1A91">
            <w:pPr>
              <w:spacing w:after="60"/>
              <w:rPr>
                <w:rFonts w:ascii="Garamond" w:hAnsi="Garamond"/>
                <w:b/>
                <w:bCs/>
                <w:i/>
                <w:iCs/>
              </w:rPr>
            </w:pPr>
            <w:r>
              <w:rPr>
                <w:rFonts w:ascii="Garamond" w:hAnsi="Garamond"/>
                <w:b/>
                <w:bCs/>
                <w:i/>
                <w:iCs/>
              </w:rPr>
              <w:t xml:space="preserve">Numbers </w:t>
            </w:r>
          </w:p>
          <w:p w14:paraId="2B560843" w14:textId="77777777" w:rsidR="007B1A91" w:rsidRPr="00BC38BA" w:rsidRDefault="007B1A91" w:rsidP="007B1A91">
            <w:pPr>
              <w:spacing w:after="60"/>
              <w:rPr>
                <w:rFonts w:ascii="Garamond" w:hAnsi="Garamond"/>
              </w:rPr>
            </w:pPr>
            <w:r w:rsidRPr="00BC38BA">
              <w:rPr>
                <w:rFonts w:ascii="Garamond" w:hAnsi="Garamond"/>
              </w:rPr>
              <w:t>Numbers are written as words until twenty, and thereafter in digits. But:</w:t>
            </w:r>
          </w:p>
          <w:p w14:paraId="1E87CA28" w14:textId="77777777" w:rsidR="007B1A91" w:rsidRPr="00BC38BA" w:rsidRDefault="007B1A91" w:rsidP="007B1A91">
            <w:pPr>
              <w:spacing w:after="60"/>
              <w:ind w:left="284"/>
              <w:rPr>
                <w:rFonts w:ascii="Garamond" w:hAnsi="Garamond"/>
              </w:rPr>
            </w:pPr>
            <w:r w:rsidRPr="00BC38BA">
              <w:rPr>
                <w:rFonts w:ascii="Garamond" w:hAnsi="Garamond"/>
              </w:rPr>
              <w:t xml:space="preserve">1. Numbers in family titles are always digits, e.g. 5th Earl of Bath. </w:t>
            </w:r>
          </w:p>
          <w:p w14:paraId="5A8D8657" w14:textId="5A6335E0" w:rsidR="007B1A91" w:rsidRPr="00D40EE4" w:rsidRDefault="007B1A91" w:rsidP="00B37BF7">
            <w:pPr>
              <w:spacing w:after="120"/>
              <w:ind w:left="284"/>
              <w:rPr>
                <w:rFonts w:ascii="Garamond" w:hAnsi="Garamond"/>
              </w:rPr>
            </w:pPr>
            <w:r w:rsidRPr="00BC38BA">
              <w:rPr>
                <w:rFonts w:ascii="Garamond" w:hAnsi="Garamond"/>
              </w:rPr>
              <w:t>2. Numbers that begin a sentence are always words.</w:t>
            </w:r>
          </w:p>
        </w:tc>
      </w:tr>
      <w:tr w:rsidR="007B1A91" w14:paraId="04070ACA" w14:textId="77777777" w:rsidTr="000E359D">
        <w:tc>
          <w:tcPr>
            <w:tcW w:w="9016" w:type="dxa"/>
          </w:tcPr>
          <w:p w14:paraId="3AA5B0DA" w14:textId="77777777" w:rsidR="007B1A91" w:rsidRPr="00B37BF7" w:rsidRDefault="007B1A91" w:rsidP="007B1A91">
            <w:pPr>
              <w:rPr>
                <w:rFonts w:ascii="Garamond" w:hAnsi="Garamond"/>
                <w:b/>
                <w:bCs/>
                <w:i/>
                <w:iCs/>
              </w:rPr>
            </w:pPr>
            <w:r w:rsidRPr="00B37BF7">
              <w:rPr>
                <w:rFonts w:ascii="Garamond" w:hAnsi="Garamond"/>
                <w:b/>
                <w:bCs/>
                <w:i/>
                <w:iCs/>
              </w:rPr>
              <w:t>Ordinals</w:t>
            </w:r>
          </w:p>
          <w:p w14:paraId="017E636E" w14:textId="77777777" w:rsidR="007B1A91" w:rsidRPr="00FC4898" w:rsidRDefault="007B1A91" w:rsidP="00B37BF7">
            <w:pPr>
              <w:spacing w:after="60"/>
              <w:rPr>
                <w:rFonts w:ascii="Garamond" w:hAnsi="Garamond"/>
              </w:rPr>
            </w:pPr>
            <w:r w:rsidRPr="00FC4898">
              <w:rPr>
                <w:rFonts w:ascii="Garamond" w:hAnsi="Garamond"/>
              </w:rPr>
              <w:t>We do not use superscript characters, so:</w:t>
            </w:r>
          </w:p>
          <w:p w14:paraId="0A97FE64" w14:textId="68B92A55" w:rsidR="007B1A91" w:rsidRPr="007B1A91" w:rsidRDefault="007B1A91" w:rsidP="00B37BF7">
            <w:pPr>
              <w:spacing w:after="120"/>
              <w:ind w:left="284"/>
              <w:rPr>
                <w:rFonts w:ascii="Garamond" w:hAnsi="Garamond"/>
                <w:b/>
                <w:bCs/>
                <w:i/>
                <w:iCs/>
              </w:rPr>
            </w:pPr>
            <w:r w:rsidRPr="00FC4898">
              <w:rPr>
                <w:rFonts w:ascii="Garamond" w:hAnsi="Garamond"/>
              </w:rPr>
              <w:t>1st, 2nd, 3rd, 4</w:t>
            </w:r>
            <w:r>
              <w:rPr>
                <w:rFonts w:ascii="Garamond" w:hAnsi="Garamond"/>
              </w:rPr>
              <w:t>th</w:t>
            </w:r>
          </w:p>
        </w:tc>
      </w:tr>
      <w:tr w:rsidR="007B1A91" w14:paraId="7EA8BEE8" w14:textId="77777777" w:rsidTr="000E359D">
        <w:tc>
          <w:tcPr>
            <w:tcW w:w="9016" w:type="dxa"/>
          </w:tcPr>
          <w:p w14:paraId="6418BC0C" w14:textId="77777777" w:rsidR="007B1A91" w:rsidRDefault="007B1A91" w:rsidP="007B1A91">
            <w:pPr>
              <w:spacing w:after="60"/>
              <w:rPr>
                <w:rFonts w:ascii="Garamond" w:hAnsi="Garamond"/>
                <w:b/>
                <w:bCs/>
                <w:i/>
                <w:iCs/>
              </w:rPr>
            </w:pPr>
            <w:r>
              <w:rPr>
                <w:rFonts w:ascii="Garamond" w:hAnsi="Garamond"/>
                <w:b/>
                <w:bCs/>
                <w:i/>
                <w:iCs/>
              </w:rPr>
              <w:t xml:space="preserve">Qualifications </w:t>
            </w:r>
          </w:p>
          <w:p w14:paraId="23F313B2" w14:textId="77777777" w:rsidR="007B1A91" w:rsidRDefault="007B1A91" w:rsidP="007B1A91">
            <w:pPr>
              <w:spacing w:after="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When</w:t>
            </w:r>
            <w:r w:rsidRPr="00D40EE4">
              <w:rPr>
                <w:rFonts w:ascii="Garamond" w:hAnsi="Garamond"/>
              </w:rPr>
              <w:t xml:space="preserve"> dates are qualified, please use the following: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3"/>
              <w:gridCol w:w="1151"/>
              <w:gridCol w:w="4377"/>
            </w:tblGrid>
            <w:tr w:rsidR="000E359D" w14:paraId="754147A3" w14:textId="77777777" w:rsidTr="000E359D">
              <w:tc>
                <w:tcPr>
                  <w:tcW w:w="735" w:type="dxa"/>
                </w:tcPr>
                <w:p w14:paraId="6111760F" w14:textId="0101C7D5" w:rsidR="000E359D" w:rsidRPr="00FC4898" w:rsidRDefault="000E359D" w:rsidP="000E359D">
                  <w:pPr>
                    <w:spacing w:after="60"/>
                    <w:ind w:left="227"/>
                    <w:rPr>
                      <w:rFonts w:ascii="Garamond" w:hAnsi="Garamond"/>
                      <w:i/>
                      <w:iCs/>
                    </w:rPr>
                  </w:pPr>
                  <w:r w:rsidRPr="00FC4898">
                    <w:rPr>
                      <w:rFonts w:ascii="Garamond" w:hAnsi="Garamond"/>
                    </w:rPr>
                    <w:t>b.</w:t>
                  </w:r>
                </w:p>
              </w:tc>
              <w:tc>
                <w:tcPr>
                  <w:tcW w:w="1151" w:type="dxa"/>
                </w:tcPr>
                <w:p w14:paraId="75EB0539" w14:textId="3C5BF060" w:rsidR="000E359D" w:rsidRPr="00FC4898" w:rsidRDefault="000E359D" w:rsidP="000E359D">
                  <w:pPr>
                    <w:spacing w:after="60"/>
                    <w:rPr>
                      <w:rFonts w:ascii="Garamond" w:hAnsi="Garamond"/>
                    </w:rPr>
                  </w:pPr>
                  <w:r w:rsidRPr="00FC4898">
                    <w:rPr>
                      <w:rFonts w:ascii="Garamond" w:hAnsi="Garamond"/>
                    </w:rPr>
                    <w:t>born</w:t>
                  </w:r>
                </w:p>
              </w:tc>
              <w:tc>
                <w:tcPr>
                  <w:tcW w:w="4377" w:type="dxa"/>
                </w:tcPr>
                <w:p w14:paraId="54344B80" w14:textId="2E215CFB" w:rsidR="000E359D" w:rsidRPr="00FC4898" w:rsidRDefault="000E359D" w:rsidP="000E359D">
                  <w:pPr>
                    <w:spacing w:after="60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t</w:t>
                  </w:r>
                  <w:r w:rsidRPr="00FC4898">
                    <w:rPr>
                      <w:rFonts w:ascii="Garamond" w:hAnsi="Garamond"/>
                    </w:rPr>
                    <w:t>he person was born in this year</w:t>
                  </w:r>
                </w:p>
              </w:tc>
            </w:tr>
            <w:tr w:rsidR="000E359D" w14:paraId="0210258D" w14:textId="77777777" w:rsidTr="000E359D">
              <w:tc>
                <w:tcPr>
                  <w:tcW w:w="735" w:type="dxa"/>
                </w:tcPr>
                <w:p w14:paraId="63F40024" w14:textId="5FDA5F26" w:rsidR="000E359D" w:rsidRPr="00FC4898" w:rsidRDefault="000E359D" w:rsidP="000E359D">
                  <w:pPr>
                    <w:spacing w:after="60"/>
                    <w:ind w:left="227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bap.</w:t>
                  </w:r>
                </w:p>
              </w:tc>
              <w:tc>
                <w:tcPr>
                  <w:tcW w:w="1151" w:type="dxa"/>
                </w:tcPr>
                <w:p w14:paraId="22B64A75" w14:textId="57811CF4" w:rsidR="000E359D" w:rsidRPr="00FC4898" w:rsidRDefault="000E359D" w:rsidP="000E359D">
                  <w:pPr>
                    <w:spacing w:after="60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baptised</w:t>
                  </w:r>
                </w:p>
              </w:tc>
              <w:tc>
                <w:tcPr>
                  <w:tcW w:w="4377" w:type="dxa"/>
                </w:tcPr>
                <w:p w14:paraId="46533B20" w14:textId="0F40A8EA" w:rsidR="000E359D" w:rsidRDefault="000E359D" w:rsidP="000E359D">
                  <w:pPr>
                    <w:spacing w:after="60"/>
                    <w:rPr>
                      <w:rFonts w:ascii="Garamond" w:hAnsi="Garamond"/>
                    </w:rPr>
                  </w:pPr>
                  <w:r w:rsidRPr="00FC4898">
                    <w:rPr>
                      <w:rFonts w:ascii="Garamond" w:hAnsi="Garamond"/>
                    </w:rPr>
                    <w:t>the person was baptised in this year</w:t>
                  </w:r>
                </w:p>
              </w:tc>
            </w:tr>
            <w:tr w:rsidR="000E359D" w14:paraId="7B9023A5" w14:textId="77777777" w:rsidTr="000E359D">
              <w:tc>
                <w:tcPr>
                  <w:tcW w:w="735" w:type="dxa"/>
                </w:tcPr>
                <w:p w14:paraId="4E921C9C" w14:textId="0937E859" w:rsidR="000E359D" w:rsidRDefault="000E359D" w:rsidP="000E359D">
                  <w:pPr>
                    <w:spacing w:after="60"/>
                    <w:ind w:left="227"/>
                    <w:rPr>
                      <w:rFonts w:ascii="Garamond" w:hAnsi="Garamond"/>
                    </w:rPr>
                  </w:pPr>
                  <w:r w:rsidRPr="00FC4898">
                    <w:rPr>
                      <w:rFonts w:ascii="Garamond" w:hAnsi="Garamond"/>
                      <w:i/>
                      <w:iCs/>
                    </w:rPr>
                    <w:t>c</w:t>
                  </w:r>
                  <w:r w:rsidRPr="00FC4898">
                    <w:rPr>
                      <w:rFonts w:ascii="Garamond" w:hAnsi="Garamond"/>
                    </w:rPr>
                    <w:t>.</w:t>
                  </w:r>
                </w:p>
              </w:tc>
              <w:tc>
                <w:tcPr>
                  <w:tcW w:w="1151" w:type="dxa"/>
                </w:tcPr>
                <w:p w14:paraId="56606323" w14:textId="4924D065" w:rsidR="000E359D" w:rsidRDefault="000E359D" w:rsidP="000E359D">
                  <w:pPr>
                    <w:spacing w:after="60"/>
                    <w:rPr>
                      <w:rFonts w:ascii="Garamond" w:hAnsi="Garamond"/>
                    </w:rPr>
                  </w:pPr>
                  <w:r w:rsidRPr="00FC4898">
                    <w:rPr>
                      <w:rFonts w:ascii="Garamond" w:hAnsi="Garamond"/>
                    </w:rPr>
                    <w:t>circa</w:t>
                  </w:r>
                </w:p>
              </w:tc>
              <w:tc>
                <w:tcPr>
                  <w:tcW w:w="4377" w:type="dxa"/>
                </w:tcPr>
                <w:p w14:paraId="4AC82715" w14:textId="0BB850CC" w:rsidR="000E359D" w:rsidRDefault="000E359D" w:rsidP="000E359D">
                  <w:pPr>
                    <w:spacing w:after="60"/>
                    <w:rPr>
                      <w:rFonts w:ascii="Garamond" w:hAnsi="Garamond"/>
                    </w:rPr>
                  </w:pPr>
                  <w:r w:rsidRPr="00FC4898">
                    <w:rPr>
                      <w:rFonts w:ascii="Garamond" w:hAnsi="Garamond"/>
                    </w:rPr>
                    <w:t>this year or a nearby year</w:t>
                  </w:r>
                </w:p>
              </w:tc>
            </w:tr>
            <w:tr w:rsidR="000E359D" w14:paraId="60371DFA" w14:textId="77777777" w:rsidTr="000E359D">
              <w:trPr>
                <w:trHeight w:val="341"/>
              </w:trPr>
              <w:tc>
                <w:tcPr>
                  <w:tcW w:w="735" w:type="dxa"/>
                </w:tcPr>
                <w:p w14:paraId="63B47B08" w14:textId="7A5DD198" w:rsidR="000E359D" w:rsidRDefault="000E359D" w:rsidP="000E359D">
                  <w:pPr>
                    <w:spacing w:after="60"/>
                    <w:ind w:left="227"/>
                    <w:rPr>
                      <w:rFonts w:ascii="Garamond" w:hAnsi="Garamond"/>
                    </w:rPr>
                  </w:pPr>
                  <w:r w:rsidRPr="00FC4898">
                    <w:rPr>
                      <w:rFonts w:ascii="Garamond" w:hAnsi="Garamond"/>
                    </w:rPr>
                    <w:t>d</w:t>
                  </w:r>
                  <w:r>
                    <w:rPr>
                      <w:rFonts w:ascii="Garamond" w:hAnsi="Garamond"/>
                    </w:rPr>
                    <w:t>.</w:t>
                  </w:r>
                </w:p>
              </w:tc>
              <w:tc>
                <w:tcPr>
                  <w:tcW w:w="1151" w:type="dxa"/>
                </w:tcPr>
                <w:p w14:paraId="1DE0D91F" w14:textId="7C3EA79B" w:rsidR="000E359D" w:rsidRDefault="000E359D" w:rsidP="000E359D">
                  <w:pPr>
                    <w:spacing w:after="60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died</w:t>
                  </w:r>
                </w:p>
              </w:tc>
              <w:tc>
                <w:tcPr>
                  <w:tcW w:w="4377" w:type="dxa"/>
                </w:tcPr>
                <w:p w14:paraId="55F62D5D" w14:textId="0AB0DB06" w:rsidR="000E359D" w:rsidRDefault="000E359D" w:rsidP="000E359D">
                  <w:pPr>
                    <w:tabs>
                      <w:tab w:val="left" w:pos="709"/>
                      <w:tab w:val="left" w:pos="1985"/>
                    </w:tabs>
                    <w:rPr>
                      <w:rFonts w:ascii="Garamond" w:hAnsi="Garamond"/>
                    </w:rPr>
                  </w:pPr>
                  <w:r w:rsidRPr="00FC4898">
                    <w:rPr>
                      <w:rFonts w:ascii="Garamond" w:hAnsi="Garamond"/>
                    </w:rPr>
                    <w:t>the person died in this year</w:t>
                  </w:r>
                </w:p>
              </w:tc>
            </w:tr>
            <w:tr w:rsidR="000E359D" w14:paraId="2294D47A" w14:textId="77777777" w:rsidTr="000E359D">
              <w:trPr>
                <w:trHeight w:val="341"/>
              </w:trPr>
              <w:tc>
                <w:tcPr>
                  <w:tcW w:w="735" w:type="dxa"/>
                </w:tcPr>
                <w:p w14:paraId="6D1F4495" w14:textId="55BF8F3C" w:rsidR="000E359D" w:rsidRPr="00FC4898" w:rsidRDefault="000E359D" w:rsidP="000E359D">
                  <w:pPr>
                    <w:spacing w:after="60"/>
                    <w:ind w:left="227"/>
                    <w:rPr>
                      <w:rFonts w:ascii="Garamond" w:hAnsi="Garamond"/>
                    </w:rPr>
                  </w:pPr>
                  <w:r w:rsidRPr="00FC4898">
                    <w:rPr>
                      <w:rFonts w:ascii="Garamond" w:hAnsi="Garamond"/>
                    </w:rPr>
                    <w:t>fl.</w:t>
                  </w:r>
                </w:p>
              </w:tc>
              <w:tc>
                <w:tcPr>
                  <w:tcW w:w="1151" w:type="dxa"/>
                </w:tcPr>
                <w:p w14:paraId="6396F526" w14:textId="30E6DEDE" w:rsidR="000E359D" w:rsidRPr="00FC4898" w:rsidRDefault="000E359D" w:rsidP="000E359D">
                  <w:pPr>
                    <w:spacing w:after="60"/>
                    <w:rPr>
                      <w:rFonts w:ascii="Garamond" w:hAnsi="Garamond"/>
                    </w:rPr>
                  </w:pPr>
                  <w:r w:rsidRPr="00FC4898">
                    <w:rPr>
                      <w:rFonts w:ascii="Garamond" w:hAnsi="Garamond"/>
                    </w:rPr>
                    <w:t>flourished</w:t>
                  </w:r>
                </w:p>
              </w:tc>
              <w:tc>
                <w:tcPr>
                  <w:tcW w:w="4377" w:type="dxa"/>
                </w:tcPr>
                <w:p w14:paraId="314797BC" w14:textId="2400BDF9" w:rsidR="000E359D" w:rsidRDefault="000E359D" w:rsidP="000E359D">
                  <w:pPr>
                    <w:tabs>
                      <w:tab w:val="left" w:pos="709"/>
                      <w:tab w:val="left" w:pos="1985"/>
                    </w:tabs>
                    <w:rPr>
                      <w:rFonts w:ascii="Garamond" w:hAnsi="Garamond"/>
                    </w:rPr>
                  </w:pPr>
                  <w:r w:rsidRPr="00FC4898">
                    <w:rPr>
                      <w:rFonts w:ascii="Garamond" w:hAnsi="Garamond"/>
                    </w:rPr>
                    <w:t>the person was active in this year</w:t>
                  </w:r>
                </w:p>
              </w:tc>
            </w:tr>
            <w:tr w:rsidR="000E359D" w14:paraId="3B8C2913" w14:textId="77777777" w:rsidTr="000E359D">
              <w:trPr>
                <w:trHeight w:val="341"/>
              </w:trPr>
              <w:tc>
                <w:tcPr>
                  <w:tcW w:w="735" w:type="dxa"/>
                </w:tcPr>
                <w:p w14:paraId="1D0042E3" w14:textId="43631FC5" w:rsidR="000E359D" w:rsidRDefault="000E359D" w:rsidP="000E359D">
                  <w:pPr>
                    <w:spacing w:after="60"/>
                    <w:ind w:left="227"/>
                    <w:rPr>
                      <w:rFonts w:ascii="Garamond" w:hAnsi="Garamond"/>
                    </w:rPr>
                  </w:pPr>
                  <w:r w:rsidRPr="00FC4898">
                    <w:rPr>
                      <w:rFonts w:ascii="Garamond" w:hAnsi="Garamond"/>
                    </w:rPr>
                    <w:t>prob.</w:t>
                  </w:r>
                </w:p>
              </w:tc>
              <w:tc>
                <w:tcPr>
                  <w:tcW w:w="1151" w:type="dxa"/>
                </w:tcPr>
                <w:p w14:paraId="2E12BEFB" w14:textId="4CC6AA7F" w:rsidR="000E359D" w:rsidRDefault="000E359D" w:rsidP="000E359D">
                  <w:pPr>
                    <w:spacing w:after="60"/>
                    <w:rPr>
                      <w:rFonts w:ascii="Garamond" w:hAnsi="Garamond"/>
                    </w:rPr>
                  </w:pPr>
                  <w:r w:rsidRPr="00FC4898">
                    <w:rPr>
                      <w:rFonts w:ascii="Garamond" w:hAnsi="Garamond"/>
                    </w:rPr>
                    <w:t>probate</w:t>
                  </w:r>
                </w:p>
              </w:tc>
              <w:tc>
                <w:tcPr>
                  <w:tcW w:w="4377" w:type="dxa"/>
                </w:tcPr>
                <w:p w14:paraId="203565B9" w14:textId="7C87B37C" w:rsidR="000E359D" w:rsidRPr="00FC4898" w:rsidRDefault="000E359D" w:rsidP="000E359D">
                  <w:pPr>
                    <w:tabs>
                      <w:tab w:val="left" w:pos="709"/>
                      <w:tab w:val="left" w:pos="1985"/>
                    </w:tabs>
                    <w:rPr>
                      <w:rFonts w:ascii="Garamond" w:hAnsi="Garamond"/>
                    </w:rPr>
                  </w:pPr>
                  <w:r w:rsidRPr="00FC4898">
                    <w:rPr>
                      <w:rFonts w:ascii="Garamond" w:hAnsi="Garamond"/>
                    </w:rPr>
                    <w:t>the person was granted probate in this year</w:t>
                  </w:r>
                </w:p>
              </w:tc>
            </w:tr>
          </w:tbl>
          <w:p w14:paraId="1A7D9917" w14:textId="77777777" w:rsidR="007B1A91" w:rsidRPr="00D40EE4" w:rsidRDefault="007B1A91" w:rsidP="00B37BF7">
            <w:pPr>
              <w:spacing w:after="60"/>
              <w:rPr>
                <w:rFonts w:ascii="Garamond" w:hAnsi="Garamond"/>
              </w:rPr>
            </w:pPr>
            <w:r w:rsidRPr="00D40EE4">
              <w:rPr>
                <w:rFonts w:ascii="Garamond" w:hAnsi="Garamond"/>
              </w:rPr>
              <w:lastRenderedPageBreak/>
              <w:t>When qualifiers are applied to a range of dates which are far apart, the assumption is that the qualifier applies only to the first date:</w:t>
            </w:r>
          </w:p>
          <w:p w14:paraId="5F66C804" w14:textId="77777777" w:rsidR="007B1A91" w:rsidRPr="00FC4898" w:rsidRDefault="007B1A91" w:rsidP="00B37BF7">
            <w:pPr>
              <w:spacing w:after="60"/>
              <w:ind w:left="284"/>
              <w:rPr>
                <w:rFonts w:ascii="Garamond" w:hAnsi="Garamond"/>
              </w:rPr>
            </w:pPr>
            <w:r w:rsidRPr="00FC4898">
              <w:rPr>
                <w:rFonts w:ascii="Garamond" w:hAnsi="Garamond"/>
                <w:i/>
                <w:iCs/>
              </w:rPr>
              <w:t>c</w:t>
            </w:r>
            <w:r w:rsidRPr="00FC4898">
              <w:rPr>
                <w:rFonts w:ascii="Garamond" w:hAnsi="Garamond"/>
              </w:rPr>
              <w:t>. 1640–1738</w:t>
            </w:r>
          </w:p>
          <w:p w14:paraId="0514384B" w14:textId="77777777" w:rsidR="007B1A91" w:rsidRPr="00D40EE4" w:rsidRDefault="007B1A91" w:rsidP="00B37BF7">
            <w:pPr>
              <w:spacing w:after="60"/>
              <w:rPr>
                <w:rFonts w:ascii="Garamond" w:hAnsi="Garamond"/>
              </w:rPr>
            </w:pPr>
            <w:r w:rsidRPr="00D40EE4">
              <w:rPr>
                <w:rFonts w:ascii="Garamond" w:hAnsi="Garamond"/>
              </w:rPr>
              <w:t>However, for a single-digit range, a single qualifier may be deemed to apply to both dates:</w:t>
            </w:r>
          </w:p>
          <w:p w14:paraId="73C04BDE" w14:textId="77777777" w:rsidR="007B1A91" w:rsidRPr="00FC4898" w:rsidRDefault="007B1A91" w:rsidP="00B37BF7">
            <w:pPr>
              <w:spacing w:after="60"/>
              <w:ind w:left="284"/>
              <w:rPr>
                <w:rFonts w:ascii="Garamond" w:hAnsi="Garamond"/>
              </w:rPr>
            </w:pPr>
            <w:r w:rsidRPr="00FC4898">
              <w:rPr>
                <w:rFonts w:ascii="Garamond" w:hAnsi="Garamond"/>
                <w:i/>
                <w:iCs/>
              </w:rPr>
              <w:t xml:space="preserve">c. </w:t>
            </w:r>
            <w:r w:rsidRPr="00FC4898">
              <w:rPr>
                <w:rFonts w:ascii="Garamond" w:hAnsi="Garamond"/>
              </w:rPr>
              <w:t>1640–5</w:t>
            </w:r>
          </w:p>
          <w:p w14:paraId="332B6D73" w14:textId="77777777" w:rsidR="007B1A91" w:rsidRPr="00D40EE4" w:rsidRDefault="007B1A91" w:rsidP="00B37BF7">
            <w:pPr>
              <w:spacing w:after="60"/>
              <w:rPr>
                <w:rFonts w:ascii="Garamond" w:hAnsi="Garamond"/>
              </w:rPr>
            </w:pPr>
            <w:r w:rsidRPr="00D40EE4">
              <w:rPr>
                <w:rFonts w:ascii="Garamond" w:hAnsi="Garamond"/>
              </w:rPr>
              <w:t>Dates may have two different qualifiers, for example:</w:t>
            </w:r>
          </w:p>
          <w:p w14:paraId="28BD3BB8" w14:textId="1BF2F884" w:rsidR="007B1A91" w:rsidRPr="007B1A91" w:rsidRDefault="007B1A91" w:rsidP="00B37BF7">
            <w:pPr>
              <w:spacing w:after="120"/>
              <w:ind w:left="284"/>
              <w:rPr>
                <w:rFonts w:ascii="Garamond" w:hAnsi="Garamond"/>
              </w:rPr>
            </w:pPr>
            <w:r w:rsidRPr="00FC4898">
              <w:rPr>
                <w:rFonts w:ascii="Garamond" w:hAnsi="Garamond"/>
              </w:rPr>
              <w:t>John Bloggs (fl. 1670, d. 1708)</w:t>
            </w:r>
          </w:p>
        </w:tc>
      </w:tr>
      <w:tr w:rsidR="007B1A91" w14:paraId="3115C8AE" w14:textId="77777777" w:rsidTr="000E359D">
        <w:tc>
          <w:tcPr>
            <w:tcW w:w="9016" w:type="dxa"/>
          </w:tcPr>
          <w:p w14:paraId="7AC7EBCF" w14:textId="77777777" w:rsidR="007B1A91" w:rsidRPr="00B37BF7" w:rsidRDefault="007B1A91" w:rsidP="007B1A91">
            <w:pPr>
              <w:rPr>
                <w:rFonts w:ascii="Garamond" w:hAnsi="Garamond"/>
                <w:b/>
                <w:bCs/>
                <w:i/>
                <w:iCs/>
              </w:rPr>
            </w:pPr>
            <w:r w:rsidRPr="00B37BF7">
              <w:rPr>
                <w:rFonts w:ascii="Garamond" w:hAnsi="Garamond"/>
                <w:b/>
                <w:bCs/>
                <w:i/>
                <w:iCs/>
              </w:rPr>
              <w:lastRenderedPageBreak/>
              <w:t xml:space="preserve">Quotations </w:t>
            </w:r>
          </w:p>
          <w:p w14:paraId="62AE5231" w14:textId="77777777" w:rsidR="007B1A91" w:rsidRDefault="007B1A91" w:rsidP="007B1A9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Should almost exclusively be taken from primary source material, unless it is important to convey a certain scholar’s understanding of a particular point. They should be in single quotation marks. If the quoted phrase itself includes a quotation this should be given in double quotation marks. So: </w:t>
            </w:r>
          </w:p>
          <w:p w14:paraId="54941484" w14:textId="77777777" w:rsidR="007B1A91" w:rsidRDefault="007B1A91" w:rsidP="007B1A91">
            <w:pPr>
              <w:ind w:left="284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‘Bloggs said to Smith, “I have been working on a new biography of Turner, lately”’. </w:t>
            </w:r>
          </w:p>
          <w:p w14:paraId="5BE31126" w14:textId="4FE3E950" w:rsidR="007B1A91" w:rsidRPr="00D40EE4" w:rsidRDefault="007B1A91" w:rsidP="00B37BF7">
            <w:pPr>
              <w:spacing w:after="120"/>
              <w:ind w:left="284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The full stop should come outside the single quotation marks</w:t>
            </w:r>
            <w:r w:rsidRPr="0068459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unless the quotation constitutes a standalone sentence. Quotations of over forty words should have a left indentation of 1.5 cm.</w:t>
            </w:r>
          </w:p>
        </w:tc>
      </w:tr>
      <w:tr w:rsidR="007B1A91" w14:paraId="08F5AD54" w14:textId="77777777" w:rsidTr="000E359D">
        <w:tc>
          <w:tcPr>
            <w:tcW w:w="9016" w:type="dxa"/>
          </w:tcPr>
          <w:p w14:paraId="128B048E" w14:textId="77777777" w:rsidR="007B1A91" w:rsidRDefault="007B1A91" w:rsidP="007B1A91">
            <w:pPr>
              <w:spacing w:after="60"/>
              <w:rPr>
                <w:rFonts w:ascii="Garamond" w:hAnsi="Garamond"/>
                <w:b/>
                <w:bCs/>
                <w:i/>
                <w:iCs/>
              </w:rPr>
            </w:pPr>
            <w:r>
              <w:rPr>
                <w:rFonts w:ascii="Garamond" w:hAnsi="Garamond"/>
                <w:b/>
                <w:bCs/>
                <w:i/>
                <w:iCs/>
              </w:rPr>
              <w:t xml:space="preserve">Ranges </w:t>
            </w:r>
          </w:p>
          <w:p w14:paraId="7A3A77C0" w14:textId="77777777" w:rsidR="007B1A91" w:rsidRPr="00BC38BA" w:rsidRDefault="007B1A91" w:rsidP="007B1A91">
            <w:pPr>
              <w:spacing w:after="60"/>
              <w:rPr>
                <w:rFonts w:ascii="Garamond" w:hAnsi="Garamond"/>
              </w:rPr>
            </w:pPr>
            <w:r w:rsidRPr="00BC38BA">
              <w:rPr>
                <w:rFonts w:ascii="Garamond" w:hAnsi="Garamond"/>
              </w:rPr>
              <w:t>A range of numbers (such as life dates and page references) are given using the fewest digits necessary, so:</w:t>
            </w:r>
          </w:p>
          <w:p w14:paraId="3010FB7C" w14:textId="77777777" w:rsidR="007B1A91" w:rsidRPr="00BC38BA" w:rsidRDefault="007B1A91" w:rsidP="007B1A91">
            <w:pPr>
              <w:ind w:left="284"/>
              <w:rPr>
                <w:rFonts w:ascii="Garamond" w:hAnsi="Garamond"/>
                <w:i/>
                <w:iCs/>
              </w:rPr>
            </w:pPr>
            <w:r w:rsidRPr="00BC38BA">
              <w:rPr>
                <w:rFonts w:ascii="Garamond" w:hAnsi="Garamond"/>
                <w:i/>
                <w:iCs/>
              </w:rPr>
              <w:t>single-digit ranges</w:t>
            </w:r>
          </w:p>
          <w:p w14:paraId="168C8BC2" w14:textId="77777777" w:rsidR="007B1A91" w:rsidRPr="00FC4898" w:rsidRDefault="007B1A91" w:rsidP="007B1A91">
            <w:pPr>
              <w:ind w:left="284"/>
              <w:rPr>
                <w:rFonts w:ascii="Garamond" w:hAnsi="Garamond"/>
              </w:rPr>
            </w:pPr>
            <w:r w:rsidRPr="00FC4898">
              <w:rPr>
                <w:rFonts w:ascii="Garamond" w:hAnsi="Garamond"/>
              </w:rPr>
              <w:t>1677–8 [meaning 1677 to 1678]; 1620–5; pp. 167–9; pp. 170–1</w:t>
            </w:r>
          </w:p>
          <w:p w14:paraId="28DA3E6F" w14:textId="77777777" w:rsidR="007B1A91" w:rsidRPr="00FC4898" w:rsidRDefault="007B1A91" w:rsidP="007B1A91">
            <w:pPr>
              <w:spacing w:after="60"/>
              <w:ind w:left="284"/>
              <w:rPr>
                <w:rFonts w:ascii="Garamond" w:hAnsi="Garamond"/>
              </w:rPr>
            </w:pPr>
            <w:r w:rsidRPr="00FC4898">
              <w:rPr>
                <w:rFonts w:ascii="Garamond" w:hAnsi="Garamond"/>
              </w:rPr>
              <w:t>But 1600–08 and pp. 100–01</w:t>
            </w:r>
          </w:p>
          <w:p w14:paraId="579A0190" w14:textId="77777777" w:rsidR="007B1A91" w:rsidRPr="00BC38BA" w:rsidRDefault="007B1A91" w:rsidP="007B1A91">
            <w:pPr>
              <w:ind w:left="284"/>
              <w:rPr>
                <w:rFonts w:ascii="Garamond" w:hAnsi="Garamond"/>
                <w:i/>
                <w:iCs/>
              </w:rPr>
            </w:pPr>
            <w:r w:rsidRPr="00BC38BA">
              <w:rPr>
                <w:rFonts w:ascii="Garamond" w:hAnsi="Garamond"/>
                <w:i/>
                <w:iCs/>
              </w:rPr>
              <w:t>two-digit ranges</w:t>
            </w:r>
          </w:p>
          <w:p w14:paraId="4A3AD7F7" w14:textId="77777777" w:rsidR="007B1A91" w:rsidRPr="00FC4898" w:rsidRDefault="007B1A91" w:rsidP="007B1A91">
            <w:pPr>
              <w:ind w:left="284"/>
              <w:rPr>
                <w:rFonts w:ascii="Garamond" w:hAnsi="Garamond"/>
              </w:rPr>
            </w:pPr>
            <w:r w:rsidRPr="00FC4898">
              <w:rPr>
                <w:rFonts w:ascii="Garamond" w:hAnsi="Garamond"/>
              </w:rPr>
              <w:t>1677–89 [meaning 1677 to 1689]</w:t>
            </w:r>
          </w:p>
          <w:p w14:paraId="4E7BF2B9" w14:textId="77777777" w:rsidR="007B1A91" w:rsidRPr="00FC4898" w:rsidRDefault="007B1A91" w:rsidP="007B1A91">
            <w:pPr>
              <w:spacing w:after="60"/>
              <w:ind w:left="284"/>
              <w:rPr>
                <w:rFonts w:ascii="Garamond" w:hAnsi="Garamond"/>
              </w:rPr>
            </w:pPr>
            <w:r w:rsidRPr="00FC4898">
              <w:rPr>
                <w:rFonts w:ascii="Garamond" w:hAnsi="Garamond"/>
              </w:rPr>
              <w:t>pp. 208–19</w:t>
            </w:r>
          </w:p>
          <w:p w14:paraId="041B94CD" w14:textId="77777777" w:rsidR="007B1A91" w:rsidRPr="00BC38BA" w:rsidRDefault="007B1A91" w:rsidP="007B1A91">
            <w:pPr>
              <w:ind w:left="284"/>
              <w:rPr>
                <w:rFonts w:ascii="Garamond" w:hAnsi="Garamond"/>
                <w:i/>
                <w:iCs/>
              </w:rPr>
            </w:pPr>
            <w:r w:rsidRPr="00BC38BA">
              <w:rPr>
                <w:rFonts w:ascii="Garamond" w:hAnsi="Garamond"/>
                <w:i/>
                <w:iCs/>
              </w:rPr>
              <w:t>three-digit ranges</w:t>
            </w:r>
          </w:p>
          <w:p w14:paraId="6857BCDF" w14:textId="019A85D0" w:rsidR="007B1A91" w:rsidRPr="00D40EE4" w:rsidRDefault="007B1A91" w:rsidP="00B37BF7">
            <w:pPr>
              <w:spacing w:after="120"/>
              <w:ind w:left="284"/>
              <w:rPr>
                <w:rFonts w:ascii="Garamond" w:hAnsi="Garamond"/>
              </w:rPr>
            </w:pPr>
            <w:r w:rsidRPr="00FC4898">
              <w:rPr>
                <w:rFonts w:ascii="Garamond" w:hAnsi="Garamond"/>
              </w:rPr>
              <w:t>1677–1751</w:t>
            </w:r>
          </w:p>
        </w:tc>
      </w:tr>
      <w:tr w:rsidR="007B1A91" w14:paraId="31E85EDD" w14:textId="77777777" w:rsidTr="000E359D">
        <w:tc>
          <w:tcPr>
            <w:tcW w:w="9016" w:type="dxa"/>
          </w:tcPr>
          <w:p w14:paraId="1BD4A493" w14:textId="17CC7474" w:rsidR="007B1A91" w:rsidRDefault="007B1A91" w:rsidP="007B1A91">
            <w:pPr>
              <w:spacing w:after="60"/>
              <w:rPr>
                <w:rFonts w:ascii="Garamond" w:hAnsi="Garamond"/>
                <w:b/>
                <w:bCs/>
                <w:i/>
                <w:iCs/>
              </w:rPr>
            </w:pPr>
            <w:r>
              <w:rPr>
                <w:rFonts w:ascii="Garamond" w:hAnsi="Garamond"/>
                <w:b/>
                <w:bCs/>
                <w:i/>
                <w:iCs/>
              </w:rPr>
              <w:t xml:space="preserve">Spelling </w:t>
            </w:r>
          </w:p>
          <w:p w14:paraId="425AD69F" w14:textId="5086EB33" w:rsidR="007B1A91" w:rsidRPr="00D40EE4" w:rsidRDefault="007B1A91" w:rsidP="007B1A91">
            <w:pPr>
              <w:spacing w:after="60"/>
              <w:rPr>
                <w:rFonts w:ascii="Garamond" w:hAnsi="Garamond"/>
              </w:rPr>
            </w:pPr>
            <w:r w:rsidRPr="00B37BF7">
              <w:rPr>
                <w:rFonts w:ascii="Garamond" w:hAnsi="Garamond"/>
              </w:rPr>
              <w:t xml:space="preserve">We use British English spellings, except in the case of a proper name (so for example Yale </w:t>
            </w:r>
            <w:proofErr w:type="spellStart"/>
            <w:r w:rsidRPr="00B37BF7">
              <w:rPr>
                <w:rFonts w:ascii="Garamond" w:hAnsi="Garamond"/>
              </w:rPr>
              <w:t>Center</w:t>
            </w:r>
            <w:proofErr w:type="spellEnd"/>
            <w:r w:rsidRPr="00B37BF7">
              <w:rPr>
                <w:rFonts w:ascii="Garamond" w:hAnsi="Garamond"/>
              </w:rPr>
              <w:t xml:space="preserve"> for British Art not Yale Centre).</w:t>
            </w:r>
          </w:p>
        </w:tc>
      </w:tr>
      <w:tr w:rsidR="007B1A91" w14:paraId="6C6E6A0D" w14:textId="77777777" w:rsidTr="000E359D">
        <w:tc>
          <w:tcPr>
            <w:tcW w:w="9016" w:type="dxa"/>
          </w:tcPr>
          <w:p w14:paraId="62BFA01D" w14:textId="18E74C36" w:rsidR="007B1A91" w:rsidRPr="00D40EE4" w:rsidRDefault="007B1A91" w:rsidP="007B1A91">
            <w:pPr>
              <w:ind w:left="284"/>
              <w:rPr>
                <w:rFonts w:ascii="Garamond" w:hAnsi="Garamond"/>
              </w:rPr>
            </w:pPr>
          </w:p>
        </w:tc>
      </w:tr>
      <w:tr w:rsidR="007B1A91" w14:paraId="2D08E3D8" w14:textId="77777777" w:rsidTr="000E359D">
        <w:tc>
          <w:tcPr>
            <w:tcW w:w="9016" w:type="dxa"/>
          </w:tcPr>
          <w:p w14:paraId="471934BC" w14:textId="11CC9CF1" w:rsidR="007B1A91" w:rsidRPr="00D40EE4" w:rsidRDefault="007B1A91" w:rsidP="007B1A91">
            <w:pPr>
              <w:rPr>
                <w:rFonts w:ascii="Garamond" w:hAnsi="Garamond"/>
              </w:rPr>
            </w:pPr>
          </w:p>
        </w:tc>
      </w:tr>
      <w:tr w:rsidR="007B1A91" w14:paraId="6D5DABC0" w14:textId="77777777" w:rsidTr="000E359D">
        <w:tc>
          <w:tcPr>
            <w:tcW w:w="9016" w:type="dxa"/>
          </w:tcPr>
          <w:p w14:paraId="17B09C02" w14:textId="6CD46686" w:rsidR="007B1A91" w:rsidRPr="00D40EE4" w:rsidRDefault="007B1A91" w:rsidP="007B1A9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</w:tr>
    </w:tbl>
    <w:p w14:paraId="79AE2128" w14:textId="77777777" w:rsidR="0067358E" w:rsidRPr="00B37BF7" w:rsidRDefault="0067358E" w:rsidP="00F73145">
      <w:pPr>
        <w:rPr>
          <w:rFonts w:ascii="Garamond" w:hAnsi="Garamond"/>
          <w:b/>
          <w:bCs/>
        </w:rPr>
      </w:pPr>
    </w:p>
    <w:sectPr w:rsidR="0067358E" w:rsidRPr="00B37BF7" w:rsidSect="007E619F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0DD"/>
    <w:rsid w:val="000B768E"/>
    <w:rsid w:val="000D3CB3"/>
    <w:rsid w:val="000E359D"/>
    <w:rsid w:val="001848CC"/>
    <w:rsid w:val="0019579B"/>
    <w:rsid w:val="00207C8A"/>
    <w:rsid w:val="002A1478"/>
    <w:rsid w:val="00322221"/>
    <w:rsid w:val="0036065F"/>
    <w:rsid w:val="003B0111"/>
    <w:rsid w:val="003E382E"/>
    <w:rsid w:val="005819A1"/>
    <w:rsid w:val="005D6A9B"/>
    <w:rsid w:val="00624DA4"/>
    <w:rsid w:val="00644F5A"/>
    <w:rsid w:val="0067358E"/>
    <w:rsid w:val="0068459A"/>
    <w:rsid w:val="006B063D"/>
    <w:rsid w:val="00717775"/>
    <w:rsid w:val="007264F0"/>
    <w:rsid w:val="00753975"/>
    <w:rsid w:val="007B1A91"/>
    <w:rsid w:val="007B7C4B"/>
    <w:rsid w:val="007E619F"/>
    <w:rsid w:val="008417BA"/>
    <w:rsid w:val="00876FB8"/>
    <w:rsid w:val="008A17C3"/>
    <w:rsid w:val="008F085C"/>
    <w:rsid w:val="008F2F0F"/>
    <w:rsid w:val="00921E4A"/>
    <w:rsid w:val="00991FDE"/>
    <w:rsid w:val="00A21438"/>
    <w:rsid w:val="00A62C4A"/>
    <w:rsid w:val="00A71903"/>
    <w:rsid w:val="00AC5087"/>
    <w:rsid w:val="00AF0D0E"/>
    <w:rsid w:val="00B20DA0"/>
    <w:rsid w:val="00B37662"/>
    <w:rsid w:val="00B37BF7"/>
    <w:rsid w:val="00B51BB7"/>
    <w:rsid w:val="00B64F96"/>
    <w:rsid w:val="00B762E5"/>
    <w:rsid w:val="00BA7298"/>
    <w:rsid w:val="00BC38BA"/>
    <w:rsid w:val="00BD22FC"/>
    <w:rsid w:val="00CE23C8"/>
    <w:rsid w:val="00D115B3"/>
    <w:rsid w:val="00D370DD"/>
    <w:rsid w:val="00D40EE4"/>
    <w:rsid w:val="00DB764A"/>
    <w:rsid w:val="00E53A7B"/>
    <w:rsid w:val="00F255F7"/>
    <w:rsid w:val="00F36CEF"/>
    <w:rsid w:val="00F47D39"/>
    <w:rsid w:val="00F73145"/>
    <w:rsid w:val="00FE693E"/>
    <w:rsid w:val="00FF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7C618"/>
  <w15:chartTrackingRefBased/>
  <w15:docId w15:val="{82A48ECA-2217-D84B-86A6-288D753C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44F5A"/>
  </w:style>
  <w:style w:type="character" w:styleId="Hyperlink">
    <w:name w:val="Hyperlink"/>
    <w:basedOn w:val="DefaultParagraphFont"/>
    <w:uiPriority w:val="99"/>
    <w:unhideWhenUsed/>
    <w:rsid w:val="00921E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1E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22F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B7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5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 S</dc:creator>
  <cp:keywords/>
  <dc:description/>
  <cp:lastModifiedBy>William Aslet</cp:lastModifiedBy>
  <cp:revision>4</cp:revision>
  <dcterms:created xsi:type="dcterms:W3CDTF">2025-10-08T16:03:00Z</dcterms:created>
  <dcterms:modified xsi:type="dcterms:W3CDTF">2025-11-11T16:44:00Z</dcterms:modified>
</cp:coreProperties>
</file>